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 освіти та науки України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НТУУ «КПІ» ім. Сікорського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АПЕПС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Звіт з лабораторної роботи №2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 «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Мобільні технології розпізнавання образів-1</w:t>
      </w:r>
      <w:r w:rsidDel="00000000" w:rsidR="00000000" w:rsidRPr="00000000">
        <w:rPr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тему: «Расчет движения пятна загрязнения в акватории»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Варіант 12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Виконав студент ТЕФ</w:t>
      </w:r>
    </w:p>
    <w:p w:rsidR="00000000" w:rsidDel="00000000" w:rsidP="00000000" w:rsidRDefault="00000000" w:rsidRPr="00000000">
      <w:pPr>
        <w:spacing w:line="360" w:lineRule="auto"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 курсу гр.ТІ-71мп</w:t>
      </w:r>
    </w:p>
    <w:p w:rsidR="00000000" w:rsidDel="00000000" w:rsidP="00000000" w:rsidRDefault="00000000" w:rsidRPr="00000000">
      <w:pPr>
        <w:spacing w:line="360" w:lineRule="auto"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Чайка А.Ю.</w:t>
      </w:r>
    </w:p>
    <w:p w:rsidR="00000000" w:rsidDel="00000000" w:rsidP="00000000" w:rsidRDefault="00000000" w:rsidRPr="00000000">
      <w:pPr>
        <w:spacing w:line="360" w:lineRule="auto"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Перевірила: к.т.н. Писаренко Юлія Валеріївна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Київ-2017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ЗМІСТ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tabs>
              <w:tab w:val="right" w:pos="9025.511811023624"/>
            </w:tabs>
            <w:spacing w:before="80" w:line="360" w:lineRule="auto"/>
            <w:ind w:left="0" w:firstLine="0"/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b w:val="1"/>
                <w:rtl w:val="0"/>
              </w:rPr>
              <w:t xml:space="preserve">Опис проблеми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before="200" w:line="360" w:lineRule="auto"/>
            <w:ind w:left="0" w:firstLine="0"/>
            <w:contextualSpacing w:val="0"/>
            <w:rPr/>
          </w:pPr>
          <w:hyperlink w:anchor="_3znysh7">
            <w:r w:rsidDel="00000000" w:rsidR="00000000" w:rsidRPr="00000000">
              <w:rPr>
                <w:b w:val="1"/>
                <w:rtl w:val="0"/>
              </w:rPr>
              <w:t xml:space="preserve">Актуальність, цілі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before="200" w:line="360" w:lineRule="auto"/>
            <w:ind w:left="0" w:firstLine="0"/>
            <w:contextualSpacing w:val="0"/>
            <w:rPr/>
          </w:pPr>
          <w:hyperlink w:anchor="_3dy6vkm">
            <w:r w:rsidDel="00000000" w:rsidR="00000000" w:rsidRPr="00000000">
              <w:rPr>
                <w:b w:val="1"/>
                <w:rtl w:val="0"/>
              </w:rPr>
              <w:t xml:space="preserve">Постановка задачі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before="200" w:line="360" w:lineRule="auto"/>
            <w:ind w:left="0" w:firstLine="0"/>
            <w:contextualSpacing w:val="0"/>
            <w:rPr/>
          </w:pPr>
          <w:hyperlink w:anchor="_2s8eyo1">
            <w:r w:rsidDel="00000000" w:rsidR="00000000" w:rsidRPr="00000000">
              <w:rPr>
                <w:b w:val="1"/>
                <w:rtl w:val="0"/>
              </w:rPr>
              <w:t xml:space="preserve">Вхідні дані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before="200" w:line="360" w:lineRule="auto"/>
            <w:ind w:left="0" w:firstLine="0"/>
            <w:contextualSpacing w:val="0"/>
            <w:rPr/>
          </w:pPr>
          <w:hyperlink w:anchor="_lnxbz9">
            <w:r w:rsidDel="00000000" w:rsidR="00000000" w:rsidRPr="00000000">
              <w:rPr>
                <w:b w:val="1"/>
                <w:rtl w:val="0"/>
              </w:rPr>
              <w:t xml:space="preserve">Вихідні дані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before="200" w:line="360" w:lineRule="auto"/>
            <w:ind w:left="0" w:firstLine="0"/>
            <w:contextualSpacing w:val="0"/>
            <w:rPr/>
          </w:pPr>
          <w:hyperlink w:anchor="_1ksv4uv">
            <w:r w:rsidDel="00000000" w:rsidR="00000000" w:rsidRPr="00000000">
              <w:rPr>
                <w:b w:val="1"/>
                <w:rtl w:val="0"/>
              </w:rPr>
              <w:t xml:space="preserve">Математична модель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before="200" w:line="360" w:lineRule="auto"/>
            <w:ind w:left="0" w:firstLine="0"/>
            <w:contextualSpacing w:val="0"/>
            <w:rPr/>
          </w:pPr>
          <w:hyperlink w:anchor="_z337ya">
            <w:r w:rsidDel="00000000" w:rsidR="00000000" w:rsidRPr="00000000">
              <w:rPr>
                <w:b w:val="1"/>
                <w:rtl w:val="0"/>
              </w:rPr>
              <w:t xml:space="preserve">Структура компонентів системи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before="200" w:line="360" w:lineRule="auto"/>
            <w:ind w:left="0" w:firstLine="0"/>
            <w:contextualSpacing w:val="0"/>
            <w:rPr/>
          </w:pPr>
          <w:hyperlink w:anchor="_4i7ojhp">
            <w:r w:rsidDel="00000000" w:rsidR="00000000" w:rsidRPr="00000000">
              <w:rPr>
                <w:b w:val="1"/>
                <w:rtl w:val="0"/>
              </w:rPr>
              <w:t xml:space="preserve">Блок-схема алгоритма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before="200" w:line="360" w:lineRule="auto"/>
            <w:ind w:left="0" w:firstLine="0"/>
            <w:contextualSpacing w:val="0"/>
            <w:rPr/>
          </w:pPr>
          <w:hyperlink w:anchor="_3whwml4">
            <w:r w:rsidDel="00000000" w:rsidR="00000000" w:rsidRPr="00000000">
              <w:rPr>
                <w:b w:val="1"/>
                <w:rtl w:val="0"/>
              </w:rPr>
              <w:t xml:space="preserve">UML-діаграма процесу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before="200" w:line="360" w:lineRule="auto"/>
            <w:ind w:left="0" w:firstLine="0"/>
            <w:contextualSpacing w:val="0"/>
            <w:rPr/>
          </w:pPr>
          <w:hyperlink w:anchor="_3o7alnk">
            <w:r w:rsidDel="00000000" w:rsidR="00000000" w:rsidRPr="00000000">
              <w:rPr>
                <w:b w:val="1"/>
                <w:rtl w:val="0"/>
              </w:rPr>
              <w:t xml:space="preserve">Архітектура програмного забезпечення(указать связь  с блоками блок-схемы алгоритма)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before="200" w:line="360" w:lineRule="auto"/>
            <w:ind w:left="0" w:firstLine="0"/>
            <w:contextualSpacing w:val="0"/>
            <w:rPr/>
          </w:pPr>
          <w:hyperlink w:anchor="_2p2csry">
            <w:r w:rsidDel="00000000" w:rsidR="00000000" w:rsidRPr="00000000">
              <w:rPr>
                <w:b w:val="1"/>
                <w:rtl w:val="0"/>
              </w:rPr>
              <w:t xml:space="preserve">Копії екранних форм (скриншоти) з інструкціями користувача для роботи з системою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contextualSpacing w:val="0"/>
            <w:jc w:val="left"/>
            <w:rPr>
              <w:b w:val="1"/>
            </w:rPr>
          </w:pPr>
          <w:hyperlink w:anchor="_23ckvvd">
            <w:r w:rsidDel="00000000" w:rsidR="00000000" w:rsidRPr="00000000">
              <w:rPr>
                <w:b w:val="1"/>
                <w:rtl w:val="0"/>
              </w:rPr>
              <w:t xml:space="preserve">Висновки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tabs>
          <w:tab w:val="right" w:pos="9025.511811023624"/>
        </w:tabs>
        <w:spacing w:after="80" w:before="200" w:line="360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1. Опис проблеми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Існують екологічні проблеми пов’язані з людською життєдіяльністю, які треба передбачати та швидко на них реагувати. Для цього можна використати дані розвідки (супутник, безпілотники, роботи) і дані сезонних течій. За допомогою цих даних можливо імітувати розповсюдження розливу нафти у регіоні та передбачати можливі збитки. </w:t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1fob9te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2. Актуальність, цілі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Через зростання активності руху транспортних зв’язків все більше зростають аварії танкерів та аварії на нафтових вежах у океані, відсутність необхідного програмного забезпечення та поява потужних електронно-обчислюванних машин (і фрілансерів) стало можливим швидке моделювання процесу розливу нафти та його завчасне запобігання.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Ціль лабораторної роботи: написати аналітичну систему, яка за допомогою змодельованої ситуації може допомогти зменшити можливі збитки, створені розливом нафти.</w:t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tyjcwt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3. Постановка задачі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Маємо карту регіону, початкову територію розливу нафти та дані течій у відповідному регіоні. Необхідно змоделювати розповсюдження розливу нафти та проникання нафти у товщу води (зріз графіку).</w:t>
      </w:r>
    </w:p>
    <w:p w:rsidR="00000000" w:rsidDel="00000000" w:rsidP="00000000" w:rsidRDefault="00000000" w:rsidRPr="00000000">
      <w:pPr>
        <w:spacing w:before="0"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before="0"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Також необхідно врахувати можливість редагування мапи регіону та реалізувати це.</w:t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4d34og8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4. Вхідні дані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Мапа регіону, карта течій, початковий розлив нафти, швидкість проникання нафти у товщу води, відсоток тяжких частинок нафти.</w:t>
      </w:r>
    </w:p>
    <w:p w:rsidR="00000000" w:rsidDel="00000000" w:rsidP="00000000" w:rsidRDefault="00000000" w:rsidRPr="00000000">
      <w:pPr>
        <w:spacing w:line="240" w:lineRule="auto"/>
        <w:ind w:right="-6" w:firstLine="539"/>
        <w:contextualSpacing w:val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114300" distR="114300">
            <wp:extent cx="5486400" cy="4276725"/>
            <wp:effectExtent b="0" l="0" r="0" t="0"/>
            <wp:docPr id="41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3rdcrjn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26in1rg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lnxbz9" w:id="12"/>
      <w:bookmarkEnd w:id="12"/>
      <w:r w:rsidDel="00000000" w:rsidR="00000000" w:rsidRPr="00000000">
        <w:rPr>
          <w:rtl w:val="0"/>
        </w:rPr>
        <w:t xml:space="preserve">5. Вихідні дані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Мапа розливу нафти, мапа проникання нафти у товщу води, файл зредагованого регіону.</w:t>
      </w:r>
    </w:p>
    <w:p w:rsidR="00000000" w:rsidDel="00000000" w:rsidP="00000000" w:rsidRDefault="00000000" w:rsidRPr="00000000">
      <w:pPr>
        <w:spacing w:line="360" w:lineRule="auto"/>
        <w:contextualSpacing w:val="0"/>
        <w:rPr/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05525" cy="3429000"/>
            <wp:effectExtent b="0" l="0" r="0" t="0"/>
            <wp:docPr id="1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35nkun2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1ksv4uv" w:id="14"/>
      <w:bookmarkEnd w:id="14"/>
      <w:r w:rsidDel="00000000" w:rsidR="00000000" w:rsidRPr="00000000">
        <w:rPr>
          <w:rtl w:val="0"/>
        </w:rPr>
        <w:t xml:space="preserve">6. Математична модель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Маємо масив данних, кожен елемент якого має координати X та Y, та проекції швидкості на ці координати.</w:t>
      </w:r>
    </w:p>
    <w:p w:rsidR="00000000" w:rsidDel="00000000" w:rsidP="00000000" w:rsidRDefault="00000000" w:rsidRPr="00000000">
      <w:pPr>
        <w:spacing w:line="240" w:lineRule="auto"/>
        <w:ind w:firstLine="54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Таким образом, каждый указанный вектор двумерного поля течений характеризуется пятью значениями, которые заносятся в базу данных: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40" w:lineRule="auto"/>
        <w:ind w:firstLine="54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Идентификационный номер вектора;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40" w:lineRule="auto"/>
        <w:ind w:firstLine="54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Пространственная координата начальной точки по оси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ОX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40" w:lineRule="auto"/>
        <w:ind w:firstLine="54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Пространственная координата начальной точки по оси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ОY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40" w:lineRule="auto"/>
        <w:ind w:firstLine="54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Проекция вектора скорости на ось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ОX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40" w:lineRule="auto"/>
        <w:ind w:firstLine="54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Проекция вектора скорости на ось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ОY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>
      <w:pPr>
        <w:spacing w:line="240" w:lineRule="auto"/>
        <w:ind w:firstLine="54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качестве начальных условий берутся данные на момент выброса загрязнений в морскую среду. То есть, в систему необходимо ввести следующие входные данные: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line="240" w:lineRule="auto"/>
        <w:ind w:firstLine="54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район акватории, в котором произошел разлив загрязнений;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line="240" w:lineRule="auto"/>
        <w:ind w:firstLine="54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время (например, в каком месяце,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–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зависимости от требуемой точности; так как поле течений меняется в основном посезонно и циклически, то в большинстве случаев достаточно указать в каком месяце произошел выброс поллютанта, и из базы данных будет извлечена карта поля течений, соответствующая требуемому сезону);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line="240" w:lineRule="auto"/>
        <w:ind w:firstLine="54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начальные координаты центра пятна;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line="240" w:lineRule="auto"/>
        <w:ind w:firstLine="54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начальные размеры и форма выброса;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line="240" w:lineRule="auto"/>
        <w:ind w:firstLine="54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предполагаемый объем выброса поллютанта;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line="240" w:lineRule="auto"/>
        <w:ind w:firstLine="54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плотность вещества, разлив которого произошел,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–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это необходимо для расчета скорости оседания частиц вещества (указывается % частиц тяжелее воды, которые будут оседать с каждым шагом алгоритма);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line="240" w:lineRule="auto"/>
        <w:ind w:firstLine="540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ветровые условия (направление и скорость ветра), которые имеют значительное влияние на величины скоростей движения загрязняющего пятна в разных направлениях;</w:t>
      </w:r>
    </w:p>
    <w:p w:rsidR="00000000" w:rsidDel="00000000" w:rsidP="00000000" w:rsidRDefault="00000000" w:rsidRPr="00000000">
      <w:pPr>
        <w:numPr>
          <w:ilvl w:val="1"/>
          <w:numId w:val="1"/>
        </w:numPr>
        <w:spacing w:line="240" w:lineRule="auto"/>
        <w:ind w:firstLine="539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точность, то есть интервал времени, через который необходимо вычислить новое положение координат пятна.</w:t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качестве выходных данных нужно получить имитационную демонстрацию средствами ЗD-графики процесса распространения загрязнений в водной среде по результатам предварительно проведенного прогнозирующего расчета динамики  движения пятна с возможностью сохранения отдельных кадров в файлы для последующей обработки.</w:t>
      </w:r>
    </w:p>
    <w:p w:rsidR="00000000" w:rsidDel="00000000" w:rsidP="00000000" w:rsidRDefault="00000000" w:rsidRPr="00000000">
      <w:pPr>
        <w:spacing w:line="240" w:lineRule="auto"/>
        <w:ind w:firstLine="54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прогнозирующего расчета координат движущегося поллютанта исходное пятно представляется массивом точек. Для большей понятности предлагаемого алгоритма прогнозного расчета движения загрязнений задачу можно упростить и свести к рассмотрению движения одной точки пятна, например центра пятна. А в дальнейшем этот же самый алгоритм следует применить и ко всему массиву остальных точек пятна аналогичным образом. </w:t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Входными данными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как уже оговаривалось выше, являются: карта поля течений указанного региона с учетом сезонной изменчивости, представленная неравномерной либо равномерной сетью точек; начальное положение точки пятна (например, предположим что это центр пятна) –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 время, через которое нужно проводить расчет - </w:t>
      </w:r>
      <w:r w:rsidDel="00000000" w:rsidR="00000000" w:rsidRPr="00000000">
        <w:rPr>
          <w:rFonts w:ascii="Symbol" w:cs="Symbol" w:eastAsia="Symbol" w:hAnsi="Symbol"/>
          <w:sz w:val="24"/>
          <w:szCs w:val="24"/>
          <w:rtl w:val="0"/>
        </w:rPr>
        <w:t xml:space="preserve">Δ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(например, каждый час).</w:t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Необходимо вычислить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компоненты вектора скорости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241300" cy="228600"/>
            <wp:effectExtent b="0" l="0" r="0" t="0"/>
            <wp:docPr id="46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241300" cy="228600"/>
            <wp:effectExtent b="0" l="0" r="0" t="0"/>
            <wp:docPr id="2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заданной точке с координатами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с учетом поля течений на первом шаге, затем переместить точку в новое положение, предположим, за один час в направлении вычисленного вектора скорости с компонентами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241300" cy="228600"/>
            <wp:effectExtent b="0" l="0" r="0" t="0"/>
            <wp:docPr id="1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241300" cy="228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 т.д.</w:t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Определение среди точек нерегулярной сети карты поля течений трех ближайших к заданной точке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 Для этого сначала вычисляются расстояния от точки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до всех точек, содержащихся на карте поля течений, а после выбираются три наименьших расстояния среди вычисленных.</w:t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Допустим, что ближе всего к заданной точке расположены три точки (1, 2, 3), описанные четырьмя значениями: два из них – координаты точки, два оставшихся – компоненты вектора скорости в этой точке. Эти точки можно представить в виде векторов: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1117600" cy="215900"/>
            <wp:effectExtent b="0" l="0" r="0" t="0"/>
            <wp:docPr id="1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1181100" cy="215900"/>
            <wp:effectExtent b="0" l="0" r="0" t="0"/>
            <wp:docPr id="44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1155700" cy="228600"/>
            <wp:effectExtent b="0" l="0" r="0" t="0"/>
            <wp:docPr id="43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57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Имея три вектора и начальную точку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можно предложить следующую графическую интерпретацию рассматриваемого алгоритма, которая представлена на рис.2.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830570" cy="3846195"/>
            <wp:effectExtent b="0" l="0" r="0" t="0"/>
            <wp:docPr id="2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3846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2. Графическая интерпретация нахождения неизвестного компонента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241300" cy="228600"/>
            <wp:effectExtent b="0" l="0" r="0" t="0"/>
            <wp:docPr id="3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вектора скорости для точки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 Аналогичная картина и для расчета значения компонента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241300" cy="228600"/>
            <wp:effectExtent b="0" l="0" r="0" t="0"/>
            <wp:docPr id="42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за исключением лишь того, что вместо оси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OV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используется ось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OV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и третьими координатами векторов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482600" cy="254000"/>
            <wp:effectExtent b="0" l="0" r="0" t="0"/>
            <wp:docPr id="38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будут числа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соответственно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поэтому  она в явном виде здесь не представлена. </w:t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Для нахождения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241300" cy="228600"/>
            <wp:effectExtent b="0" l="0" r="0" t="0"/>
            <wp:docPr id="1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трехмерном пространстве, обозначенном осями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ОX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ОY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ОV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изображены вектора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3251200" cy="316865"/>
            <wp:effectExtent b="0" l="0" r="0" t="0"/>
            <wp:docPr id="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16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(см. рис. 2).</w:t>
      </w:r>
    </w:p>
    <w:p w:rsidR="00000000" w:rsidDel="00000000" w:rsidP="00000000" w:rsidRDefault="00000000" w:rsidRPr="00000000">
      <w:pPr>
        <w:spacing w:line="240" w:lineRule="auto"/>
        <w:ind w:firstLine="54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нахождения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241300" cy="228600"/>
            <wp:effectExtent b="0" l="0" r="0" t="0"/>
            <wp:docPr id="1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Аналогично, в трехмерном пространстве, обозначенном осями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ОX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ОY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ОV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vertAlign w:val="subscript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изображены вектора: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3098800" cy="266700"/>
            <wp:effectExtent b="0" l="0" r="0" t="0"/>
            <wp:docPr id="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Рассмотрим алгоритм вычисления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241300" cy="228600"/>
            <wp:effectExtent b="0" l="0" r="0" t="0"/>
            <wp:docPr id="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Вывод формул и рассуждения для нахождения компоненты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241300" cy="228600"/>
            <wp:effectExtent b="0" l="0" r="0" t="0"/>
            <wp:docPr id="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аналогичны, поэтому они опускаются.</w:t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Через 3 точки с координатами: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2578100" cy="393700"/>
            <wp:effectExtent b="0" l="0" r="0" t="0"/>
            <wp:docPr id="2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можно однозначным образом провести плоскость. Вычислим координаты нормали к такой плоскости. Из векторной алгебры известно, что если перемножить два вектора векторно, то в результате получится вектор, перпендикулярный к плоскости, в которой лежат перемножаемые вектора. Таким образом, получаем:</w:t>
      </w:r>
    </w:p>
    <w:p w:rsidR="00000000" w:rsidDel="00000000" w:rsidP="00000000" w:rsidRDefault="00000000" w:rsidRPr="00000000">
      <w:pPr>
        <w:spacing w:line="240" w:lineRule="auto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firstLine="54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нахождения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241300" cy="228600"/>
            <wp:effectExtent b="0" l="0" r="0" t="0"/>
            <wp:docPr id="2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2514600" cy="711200"/>
            <wp:effectExtent b="0" l="0" r="0" t="0"/>
            <wp:docPr id="35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нахождения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241300" cy="228600"/>
            <wp:effectExtent b="0" l="0" r="0" t="0"/>
            <wp:docPr id="45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>
      <w:pPr>
        <w:spacing w:line="240" w:lineRule="auto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2667000" cy="711200"/>
            <wp:effectExtent b="0" l="0" r="0" t="0"/>
            <wp:docPr id="31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Находим уравнение  плоскости, проходящей через вектор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634365" cy="254000"/>
            <wp:effectExtent b="0" l="0" r="0" t="0"/>
            <wp:docPr id="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где вектор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952500" cy="254000"/>
            <wp:effectExtent b="0" l="0" r="0" t="0"/>
            <wp:docPr id="1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перпендикулярен нормали. Исходя из того, что скалярное произведение двух перпендикулярных векторов равно нулю, получим:</w:t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нахождения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241300" cy="228600"/>
            <wp:effectExtent b="0" l="0" r="0" t="0"/>
            <wp:docPr id="2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1130300" cy="279400"/>
            <wp:effectExtent b="0" l="0" r="0" t="0"/>
            <wp:docPr id="39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раскрыв скобки, получим: </w:t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2806700" cy="241300"/>
            <wp:effectExtent b="0" l="0" r="0" t="0"/>
            <wp:docPr id="1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нахождения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241300" cy="228600"/>
            <wp:effectExtent b="0" l="0" r="0" t="0"/>
            <wp:docPr id="32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1168400" cy="292100"/>
            <wp:effectExtent b="0" l="0" r="0" t="0"/>
            <wp:docPr id="2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раскрыв скобки получим:</w:t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2747645" cy="245745"/>
            <wp:effectExtent b="0" l="0" r="0" t="0"/>
            <wp:docPr id="30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245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Определение неизвестного значение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241300" cy="228600"/>
            <wp:effectExtent b="0" l="0" r="0" t="0"/>
            <wp:docPr id="1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2945765" cy="409575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Определение неизвестного значения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241300" cy="228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3058795" cy="409575"/>
            <wp:effectExtent b="0" l="0" r="0" t="0"/>
            <wp:docPr id="37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результате получили значения всех координат вектора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1181100" cy="254000"/>
            <wp:effectExtent b="0" l="0" r="0" t="0"/>
            <wp:docPr id="29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Вычисляем конечное положение точки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в конце первого интервала времени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190500" cy="177165"/>
            <wp:effectExtent b="0" l="0" r="0" t="0"/>
            <wp:docPr id="3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190500" cy="177165"/>
            <wp:effectExtent b="0" l="0" r="0" t="0"/>
            <wp:docPr id="2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7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данном случае равно одному часу).</w:t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нов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241300" cy="228600"/>
            <wp:effectExtent b="0" l="0" r="0" t="0"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ymbol" w:cs="Symbol" w:eastAsia="Symbol" w:hAnsi="Symbol"/>
          <w:sz w:val="24"/>
          <w:szCs w:val="24"/>
          <w:rtl w:val="0"/>
        </w:rPr>
        <w:t xml:space="preserve">⋅Δ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         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нов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+Vy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Symbol" w:cs="Symbol" w:eastAsia="Symbol" w:hAnsi="Symbol"/>
          <w:sz w:val="24"/>
          <w:szCs w:val="24"/>
          <w:rtl w:val="0"/>
        </w:rPr>
        <w:t xml:space="preserve">⋅Δ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Дальше для новой точки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нов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нов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снова определяем три самые близкие точки нерегулярной сети, то есть возврат к пункту №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>
      <w:pPr>
        <w:spacing w:line="240" w:lineRule="auto"/>
        <w:ind w:firstLine="539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Данный алгоритм рассмотрен только для какой-то одной точки пятна. Но он аналогично рассчитывается и для остальных точек и вертикальной компоненты вектора скорости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Vz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В результате на экране будет сымитирована динамика движения поллютанта в водной среде с учетом поля течений на данный период: начальная форма пятна будет деформироваться, расплываться, перемешиваться с другими загрязнениями. Причем на границе пятна концентрация загрязняющего вещества будет гораздо меньше, чем в центре. Также на  концентрацию влияет и время движения выброса, ветровая картина в данном регионе: чем больше времени прошло со времени начального разливания вещества, тем меньше  его концентрация в поверхностном слое воды, так как происходит оседание частиц со скоростью, зависящей от их массы, перенос и перемешивание частиц течениями. 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2jxsxqh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z337ya" w:id="16"/>
      <w:bookmarkEnd w:id="16"/>
      <w:r w:rsidDel="00000000" w:rsidR="00000000" w:rsidRPr="00000000">
        <w:rPr>
          <w:rtl w:val="0"/>
        </w:rPr>
        <w:t xml:space="preserve">7. Структура компонентів системи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Система складається з: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HTML-документу, на якому знаходяться карта регіону та графік проникнення нафти у товщу води (переключається). Основна логіка додатку знаходиться в мета-даних сторінки, автозапуск скрипту відбувається із відповідних команд, що знаходяться вкінці документу (тобто запуск відбудеться після повного завантаження документу).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Логічні або функціональні елементи системи: 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360" w:lineRule="auto"/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документ з відображенням вмісту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360" w:lineRule="auto"/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скрипт початкового заповнення розливу нафти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360" w:lineRule="auto"/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дані течій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360" w:lineRule="auto"/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скрипт побудови мапи регіону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360" w:lineRule="auto"/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скрипт розрахунку розливу нафти відповідно до течій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spacing w:after="0" w:before="0" w:line="360" w:lineRule="auto"/>
        <w:ind w:left="72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скрипт розрахунку проникнення нафти у товщу води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3j2qqm3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1y810tw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4i7ojhp" w:id="19"/>
      <w:bookmarkEnd w:id="19"/>
      <w:r w:rsidDel="00000000" w:rsidR="00000000" w:rsidRPr="00000000">
        <w:rPr>
          <w:rtl w:val="0"/>
        </w:rPr>
        <w:t xml:space="preserve">8. Блок-схема алгоритму 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05525" cy="1828800"/>
            <wp:effectExtent b="0" l="0" r="0" t="0"/>
            <wp:docPr id="2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2xcytpi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1ci93xb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3whwml4" w:id="22"/>
      <w:bookmarkEnd w:id="22"/>
      <w:r w:rsidDel="00000000" w:rsidR="00000000" w:rsidRPr="00000000">
        <w:rPr>
          <w:rtl w:val="0"/>
        </w:rPr>
        <w:t xml:space="preserve">9. UML-діаграма процесу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діаграма процесу</w:t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2bn6wsx" w:id="23"/>
      <w:bookmarkEnd w:id="23"/>
      <w:r w:rsidDel="00000000" w:rsidR="00000000" w:rsidRPr="00000000">
        <w:rPr/>
        <w:drawing>
          <wp:inline distB="114300" distT="114300" distL="114300" distR="114300">
            <wp:extent cx="6765507" cy="3779838"/>
            <wp:effectExtent b="0" l="0" r="0" t="0"/>
            <wp:docPr id="40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5507" cy="377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qsh70q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3as4poj" w:id="25"/>
      <w:bookmarkEnd w:id="25"/>
      <w:r w:rsidDel="00000000" w:rsidR="00000000" w:rsidRPr="00000000">
        <w:rPr>
          <w:rtl w:val="0"/>
        </w:rPr>
        <w:t xml:space="preserve">10. Архітектура програмного забезпечення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05525" cy="3022600"/>
            <wp:effectExtent b="0" l="0" r="0" t="0"/>
            <wp:docPr id="36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1pxezwc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49x2ik5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tax0d3glntxj" w:id="28"/>
      <w:bookmarkEnd w:id="28"/>
      <w:r w:rsidDel="00000000" w:rsidR="00000000" w:rsidRPr="00000000">
        <w:rPr>
          <w:rtl w:val="0"/>
        </w:rPr>
        <w:t xml:space="preserve">11. Копії екранних форм (скриншоти) з інструкціями користувача для роботи з системою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Початкове вікно програми пропонує вибрати користувачу між безпосереднім моделюванням розливу нафти та редагуванням мапи регіону.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05525" cy="3429000"/>
            <wp:effectExtent b="0" l="0" r="0" t="0"/>
            <wp:docPr id="2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Форма редагування течій - користувач може створити нову мапу регіону за допомогую клавіши “Create new map”. Нові течії можливо встановити після натискання клавіши “Arrow” та вибору двох точок на мапі (початок і кінець вектора) за допомогою натискання правої клавіші миші. Нові точки  розливу нафти можливо встановити через натискання миші на регіоні після натискання кнопки “Oil”. Також користувач може експортувати/зберегти карту регіону за допомогою кнопки “Save map” та обрати ім’я та директорію в яку зберегти файл. Повернутись до головного меню можно за допомогою кнопки “Back”.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05525" cy="3429000"/>
            <wp:effectExtent b="0" l="0" r="0" t="0"/>
            <wp:docPr id="1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вікні безпосереднього моделювання розливу нафти користувач може запускати та зупиняти процес моделювання за допомогою клавіш “Stop” та “Start”. Кнопка “Toggle selction” перемикає графік у режим показу кількості та глибини проникнення нафти у товщу води. Також користувач може обрати збережений файл регіону.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05525" cy="3429000"/>
            <wp:effectExtent b="0" l="0" r="0" t="0"/>
            <wp:docPr id="1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line="360" w:lineRule="auto"/>
        <w:contextualSpacing w:val="0"/>
        <w:rPr/>
      </w:pPr>
      <w:bookmarkStart w:colFirst="0" w:colLast="0" w:name="_147n2zr" w:id="29"/>
      <w:bookmarkEnd w:id="29"/>
      <w:r w:rsidDel="00000000" w:rsidR="00000000" w:rsidRPr="00000000">
        <w:rPr>
          <w:rtl w:val="0"/>
        </w:rPr>
        <w:t xml:space="preserve">12. Висновки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Ми навчилися моделювати процес розливу нафти за даними сезонних течії та будувати графік проникнення частинок нафти у товщу води в залежності від часу та швидкості руху плями нафти.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Розроблено аналітичну систему для передбачення розливу нафти та проникнення частинок нафти у товщу води.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Створено звіт до даної лабораторної роботи.</w:t>
      </w:r>
    </w:p>
    <w:sectPr>
      <w:headerReference r:id="rId51" w:type="default"/>
      <w:pgSz w:h="16834" w:w="11909"/>
      <w:pgMar w:bottom="1440" w:top="1440" w:left="855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Courier New"/>
  <w:font w:name="Symbol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✴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5"/>
      <w:numFmt w:val="bullet"/>
      <w:lvlText w:val="-"/>
      <w:lvlJc w:val="left"/>
      <w:pPr>
        <w:ind w:left="1440" w:hanging="360"/>
      </w:pPr>
      <w:rPr>
        <w:rFonts w:ascii="Times New Roman" w:cs="Times New Roman" w:eastAsia="Times New Roman" w:hAnsi="Times New Roman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uk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2.png"/><Relationship Id="rId42" Type="http://schemas.openxmlformats.org/officeDocument/2006/relationships/image" Target="media/image69.png"/><Relationship Id="rId41" Type="http://schemas.openxmlformats.org/officeDocument/2006/relationships/image" Target="media/image64.png"/><Relationship Id="rId44" Type="http://schemas.openxmlformats.org/officeDocument/2006/relationships/image" Target="media/image26.png"/><Relationship Id="rId43" Type="http://schemas.openxmlformats.org/officeDocument/2006/relationships/image" Target="media/image50.png"/><Relationship Id="rId46" Type="http://schemas.openxmlformats.org/officeDocument/2006/relationships/image" Target="media/image75.png"/><Relationship Id="rId45" Type="http://schemas.openxmlformats.org/officeDocument/2006/relationships/image" Target="media/image5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7.png"/><Relationship Id="rId48" Type="http://schemas.openxmlformats.org/officeDocument/2006/relationships/image" Target="media/image56.png"/><Relationship Id="rId47" Type="http://schemas.openxmlformats.org/officeDocument/2006/relationships/image" Target="media/image71.png"/><Relationship Id="rId49" Type="http://schemas.openxmlformats.org/officeDocument/2006/relationships/image" Target="media/image35.png"/><Relationship Id="rId5" Type="http://schemas.openxmlformats.org/officeDocument/2006/relationships/image" Target="media/image76.png"/><Relationship Id="rId6" Type="http://schemas.openxmlformats.org/officeDocument/2006/relationships/image" Target="media/image33.png"/><Relationship Id="rId7" Type="http://schemas.openxmlformats.org/officeDocument/2006/relationships/image" Target="media/image81.png"/><Relationship Id="rId8" Type="http://schemas.openxmlformats.org/officeDocument/2006/relationships/image" Target="media/image48.png"/><Relationship Id="rId31" Type="http://schemas.openxmlformats.org/officeDocument/2006/relationships/image" Target="media/image55.png"/><Relationship Id="rId30" Type="http://schemas.openxmlformats.org/officeDocument/2006/relationships/image" Target="media/image40.png"/><Relationship Id="rId33" Type="http://schemas.openxmlformats.org/officeDocument/2006/relationships/image" Target="media/image45.png"/><Relationship Id="rId32" Type="http://schemas.openxmlformats.org/officeDocument/2006/relationships/image" Target="media/image74.png"/><Relationship Id="rId35" Type="http://schemas.openxmlformats.org/officeDocument/2006/relationships/image" Target="media/image47.png"/><Relationship Id="rId34" Type="http://schemas.openxmlformats.org/officeDocument/2006/relationships/image" Target="media/image67.png"/><Relationship Id="rId37" Type="http://schemas.openxmlformats.org/officeDocument/2006/relationships/image" Target="media/image39.png"/><Relationship Id="rId36" Type="http://schemas.openxmlformats.org/officeDocument/2006/relationships/image" Target="media/image65.png"/><Relationship Id="rId39" Type="http://schemas.openxmlformats.org/officeDocument/2006/relationships/image" Target="media/image2.png"/><Relationship Id="rId38" Type="http://schemas.openxmlformats.org/officeDocument/2006/relationships/image" Target="media/image20.png"/><Relationship Id="rId20" Type="http://schemas.openxmlformats.org/officeDocument/2006/relationships/image" Target="media/image34.png"/><Relationship Id="rId22" Type="http://schemas.openxmlformats.org/officeDocument/2006/relationships/image" Target="media/image27.png"/><Relationship Id="rId21" Type="http://schemas.openxmlformats.org/officeDocument/2006/relationships/image" Target="media/image30.png"/><Relationship Id="rId24" Type="http://schemas.openxmlformats.org/officeDocument/2006/relationships/image" Target="media/image54.png"/><Relationship Id="rId23" Type="http://schemas.openxmlformats.org/officeDocument/2006/relationships/image" Target="media/image28.png"/><Relationship Id="rId26" Type="http://schemas.openxmlformats.org/officeDocument/2006/relationships/image" Target="media/image70.png"/><Relationship Id="rId25" Type="http://schemas.openxmlformats.org/officeDocument/2006/relationships/image" Target="media/image53.png"/><Relationship Id="rId28" Type="http://schemas.openxmlformats.org/officeDocument/2006/relationships/image" Target="media/image66.png"/><Relationship Id="rId27" Type="http://schemas.openxmlformats.org/officeDocument/2006/relationships/image" Target="media/image80.png"/><Relationship Id="rId29" Type="http://schemas.openxmlformats.org/officeDocument/2006/relationships/image" Target="media/image31.png"/><Relationship Id="rId51" Type="http://schemas.openxmlformats.org/officeDocument/2006/relationships/header" Target="header1.xml"/><Relationship Id="rId50" Type="http://schemas.openxmlformats.org/officeDocument/2006/relationships/image" Target="media/image38.png"/><Relationship Id="rId11" Type="http://schemas.openxmlformats.org/officeDocument/2006/relationships/image" Target="media/image32.png"/><Relationship Id="rId10" Type="http://schemas.openxmlformats.org/officeDocument/2006/relationships/image" Target="media/image3.png"/><Relationship Id="rId13" Type="http://schemas.openxmlformats.org/officeDocument/2006/relationships/image" Target="media/image78.png"/><Relationship Id="rId12" Type="http://schemas.openxmlformats.org/officeDocument/2006/relationships/image" Target="media/image79.png"/><Relationship Id="rId15" Type="http://schemas.openxmlformats.org/officeDocument/2006/relationships/image" Target="media/image68.png"/><Relationship Id="rId14" Type="http://schemas.openxmlformats.org/officeDocument/2006/relationships/image" Target="media/image51.png"/><Relationship Id="rId17" Type="http://schemas.openxmlformats.org/officeDocument/2006/relationships/image" Target="media/image73.png"/><Relationship Id="rId16" Type="http://schemas.openxmlformats.org/officeDocument/2006/relationships/image" Target="media/image77.png"/><Relationship Id="rId19" Type="http://schemas.openxmlformats.org/officeDocument/2006/relationships/image" Target="media/image29.png"/><Relationship Id="rId18" Type="http://schemas.openxmlformats.org/officeDocument/2006/relationships/image" Target="media/image46.png"/></Relationships>
</file>