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6A562C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第二章第一二节小结</w:t>
      </w:r>
    </w:p>
    <w:p w14:paraId="72D7505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桥墩设计内容</w:t>
      </w:r>
    </w:p>
    <w:p w14:paraId="062A3ECE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选择桥墩类型及截面形状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主要取决于水流的流向与流速；河流中有无流冰流木或其他物体对桥墩的撞击；是否为地震区；地基的承载力等。</w:t>
      </w:r>
    </w:p>
    <w:p w14:paraId="3DF4A1AE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确定材料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材料的选择有应在对附近砂、石等材料的参量和质量来决定。既要注意就地取材，节约运费和劳动，做到物尽其用。</w:t>
      </w:r>
    </w:p>
    <w:p w14:paraId="01112125"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确定桥墩的详细尺寸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要根据具体情况来设计。也可通过力学检验确定。</w:t>
      </w:r>
    </w:p>
    <w:p w14:paraId="1753CA61"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313" w:beforeLines="100" w:after="313" w:afterLines="100"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桥墩设计资料</w:t>
      </w:r>
      <w:bookmarkStart w:id="0" w:name="_GoBack"/>
      <w:bookmarkEnd w:id="0"/>
    </w:p>
    <w:p w14:paraId="595B95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设计资料就是完成设计内容所需的基本资料，做好设计的客观依据，主要有以下内容。</w:t>
      </w:r>
    </w:p>
    <w:p w14:paraId="0083A2F7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地形地质资料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包括桥址平面图、桥位平面图等；还需要注明钻孔或其他的勘探点位置；注明岩层形状，说明各层土的物理性质、颗粒大小、地下水活动及渗透情况。</w:t>
      </w:r>
    </w:p>
    <w:p w14:paraId="5B9C24FB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水文、气象资料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包括设计水位、常水位、低水位；设计和施工水位的流量和流速；流冰与流木的情况；洪水季节和施工季节；当地的最大风速、气温及冻结深度等。</w:t>
      </w:r>
    </w:p>
    <w:p w14:paraId="392D15FD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建筑材料供应情况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主要指砂、石及工程用水等供应运输情况。</w:t>
      </w:r>
    </w:p>
    <w:p w14:paraId="519AAD0C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线路和桥跨设计资料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包括线路等级、股道数目、线路平面及纵断面设计、桥孔布置、桥跨结构的具体情况。</w:t>
      </w:r>
    </w:p>
    <w:p w14:paraId="75B44D10"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其他资料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工期要求，施工设备及技术条件、当地交通及电力供应情况等在设计时都需要考虑。</w:t>
      </w:r>
    </w:p>
    <w:p w14:paraId="74F0D4C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实体桥墩构造及只要拟定尺寸</w:t>
      </w:r>
    </w:p>
    <w:p w14:paraId="34CC4963"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（一）</w:t>
      </w:r>
      <w:r>
        <w:rPr>
          <w:rFonts w:hint="eastAsia"/>
          <w:lang w:val="en-US" w:eastAsia="zh-CN"/>
        </w:rPr>
        <w:t>顶帽类型与构造</w:t>
      </w:r>
    </w:p>
    <w:p w14:paraId="47029D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主要有飞檐式（a）和托盘式（b）       </w:t>
      </w:r>
    </w:p>
    <w:p w14:paraId="0D08D30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2312670" cy="1638300"/>
            <wp:effectExtent l="0" t="0" r="3810" b="7620"/>
            <wp:docPr id="6" name="图片 6" descr="df2df4a9462b2129be4c0dfd7f276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f2df4a9462b2129be4c0dfd7f276d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12670" cy="1697990"/>
            <wp:effectExtent l="0" t="0" r="3810" b="8890"/>
            <wp:docPr id="7" name="图片 7" descr="8a63310f2bbb6efa87c651ffeba5f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a63310f2bbb6efa87c651ffeba5f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F80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图 2.1                                图 2.2</w:t>
      </w:r>
    </w:p>
    <w:p w14:paraId="32B8FB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42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作用是安放梁的支座，将桥跨传来的集中压力均匀地分散给墩身，《铁路桥涵设计规范》规定：顶帽应采用钢筋混凝土结构，混凝土强度等级不应低于C30，厚度不小于0.4m；顶帽的顶面应设置不小于3%的排水坡等。</w:t>
      </w:r>
    </w:p>
    <w:p w14:paraId="475D6C68"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（二）</w:t>
      </w:r>
      <w:r>
        <w:rPr>
          <w:rFonts w:hint="eastAsia"/>
          <w:lang w:val="en-US" w:eastAsia="zh-CN"/>
        </w:rPr>
        <w:t>顶帽尺寸拟定</w:t>
      </w:r>
    </w:p>
    <w:p w14:paraId="5F8A39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顶帽的纵向宽度如图 2.2所示可写为</w:t>
      </w:r>
    </w:p>
    <w:p w14:paraId="09674B49">
      <w:pPr>
        <w:jc w:val="right"/>
        <w:rPr>
          <w:rFonts w:hint="eastAsia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27" o:spt="75" alt="" type="#_x0000_t75" style="height:18pt;width:130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7" DrawAspect="Content" ObjectID="_1468075725" r:id="rId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       （2-1） </w:t>
      </w:r>
    </w:p>
    <w:p w14:paraId="79C43A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式中</w:t>
      </w:r>
      <w:r>
        <w:rPr>
          <w:rFonts w:hint="eastAsia"/>
          <w:position w:val="-12"/>
          <w:lang w:val="en-US" w:eastAsia="zh-CN"/>
        </w:rPr>
        <w:object>
          <v:shape id="_x0000_i1030" o:spt="75" type="#_x0000_t75" style="height:18pt;width:13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30" DrawAspect="Content" ObjectID="_1468075726" r:id="rId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</w:t>
      </w:r>
      <w:r>
        <w:rPr>
          <w:rFonts w:hint="default"/>
          <w:lang w:val="en-US" w:eastAsia="zh-CN"/>
        </w:rPr>
        <w:t>考虑梁及墩台的施工误差设置的梁缝，对钢筋混凝土或预应力混凝土简支梁，当</w:t>
      </w:r>
    </w:p>
    <w:p w14:paraId="32AB6D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跨度时</w:t>
      </w:r>
      <w:r>
        <w:rPr>
          <w:rFonts w:hint="eastAsia"/>
          <w:lang w:val="en-US" w:eastAsia="zh-CN"/>
        </w:rPr>
        <w:t>，</w:t>
      </w:r>
      <w:r>
        <w:rPr>
          <w:rFonts w:hint="eastAsia"/>
          <w:position w:val="-6"/>
          <w:lang w:val="en-US" w:eastAsia="zh-CN"/>
        </w:rPr>
        <w:object>
          <v:shape id="_x0000_i1031" o:spt="75" type="#_x0000_t75" style="height:13.95pt;width:42.95pt;" o:ole="t" filled="f" o:preferrelative="t" stroked="f" coordsize="21600,21600"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31" DrawAspect="Content" ObjectID="_1468075727" r:id="rId10">
            <o:LockedField>false</o:LockedField>
          </o:OLEObject>
        </w:object>
      </w:r>
      <w:r>
        <w:rPr>
          <w:rFonts w:hint="eastAsia"/>
          <w:lang w:val="en-US" w:eastAsia="zh-CN"/>
        </w:rPr>
        <w:t>时，</w:t>
      </w:r>
      <w:r>
        <w:rPr>
          <w:rFonts w:hint="eastAsia"/>
          <w:position w:val="-12"/>
          <w:lang w:val="en-US" w:eastAsia="zh-CN"/>
        </w:rPr>
        <w:object>
          <v:shape id="_x0000_i1032" o:spt="75" type="#_x0000_t75" style="height:18pt;width:57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32" DrawAspect="Content" ObjectID="_1468075728" r:id="rId12">
            <o:LockedField>false</o:LockedField>
          </o:OLEObject>
        </w:object>
      </w:r>
      <w:r>
        <w:rPr>
          <w:rFonts w:hint="eastAsia"/>
          <w:lang w:val="en-US" w:eastAsia="zh-CN"/>
        </w:rPr>
        <w:t>；</w:t>
      </w:r>
      <w:r>
        <w:rPr>
          <w:rFonts w:hint="eastAsia"/>
          <w:position w:val="-6"/>
          <w:lang w:val="en-US" w:eastAsia="zh-CN"/>
        </w:rPr>
        <w:object>
          <v:shape id="_x0000_i1033" o:spt="75" type="#_x0000_t75" style="height:13.95pt;width:45pt;" o:ole="t" filled="f" o:preferrelative="t" stroked="f" coordsize="21600,21600"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33" DrawAspect="Content" ObjectID="_1468075729" r:id="rId14">
            <o:LockedField>false</o:LockedField>
          </o:OLEObject>
        </w:object>
      </w:r>
      <w:r>
        <w:rPr>
          <w:rFonts w:hint="eastAsia"/>
          <w:lang w:val="en-US" w:eastAsia="zh-CN"/>
        </w:rPr>
        <w:t>时，</w:t>
      </w:r>
      <w:r>
        <w:rPr>
          <w:rFonts w:hint="eastAsia"/>
          <w:position w:val="-12"/>
          <w:lang w:val="en-US" w:eastAsia="zh-CN"/>
        </w:rPr>
        <w:object>
          <v:shape id="_x0000_i1035" o:spt="75" type="#_x0000_t75" style="height:18pt;width:62pt;" o:ole="t" filled="f" o:preferrelative="t" stroked="f" coordsize="21600,21600"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5" DrawAspect="Content" ObjectID="_1468075730" r:id="rId16">
            <o:LockedField>false</o:LockedField>
          </o:OLEObject>
        </w:object>
      </w:r>
      <w:r>
        <w:rPr>
          <w:rFonts w:hint="eastAsia"/>
          <w:lang w:val="en-US" w:eastAsia="zh-CN"/>
        </w:rPr>
        <w:t>；</w:t>
      </w:r>
    </w:p>
    <w:p w14:paraId="0B2C09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6" o:spt="75" type="#_x0000_t75" style="height:17pt;width:12pt;" o:ole="t" filled="f" o:preferrelative="t" stroked="f" coordsize="21600,21600"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6" DrawAspect="Content" ObjectID="_1468075731" r:id="rId18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支座中心至梁端的长度；</w:t>
      </w:r>
    </w:p>
    <w:p w14:paraId="6CAC15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position w:val="-10"/>
          <w:lang w:val="en-US" w:eastAsia="zh-CN"/>
        </w:rPr>
        <w:object>
          <v:shape id="_x0000_i1037" o:spt="75" type="#_x0000_t75" style="height:17pt;width:13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7" DrawAspect="Content" ObjectID="_1468075732" r:id="rId2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支座底板的纵向宽度，可根据梁的资料确定；</w:t>
      </w:r>
    </w:p>
    <w:p w14:paraId="558461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38" o:spt="75" type="#_x0000_t75" style="height:18pt;width:13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8" DrawAspect="Content" ObjectID="_1468075733" r:id="rId22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支座底板边缘至支承垫石边缘的距离，一般为0.15~0.2m，它是为了调整施工</w:t>
      </w:r>
    </w:p>
    <w:p w14:paraId="3F7579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39" o:spt="75" type="#_x0000_t75" style="height:17pt;width:13pt;" o:ole="t" filled="f" o:preferrelative="t" stroked="f" coordsize="21600,21600"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9" DrawAspect="Content" ObjectID="_1468075734" r:id="rId24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误差和防止支承垫石表面劈裂或支座锚栓松动所需的距离；</w:t>
      </w:r>
    </w:p>
    <w:p w14:paraId="0007B8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40" o:spt="75" type="#_x0000_t75" style="height:18pt;width:13pt;" o:ole="t" filled="f" o:preferrelative="t" stroked="f" coordsize="21600,21600"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40" DrawAspect="Content" ObjectID="_1468075735" r:id="rId26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支承垫石边缘至顶帽边缘的距离，用以满足顶梁施工的需要，对于梁不应小子</w:t>
      </w:r>
    </w:p>
    <w:p w14:paraId="3904F8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0.40m，对于箱梁不应小于0.20m。</w:t>
      </w:r>
    </w:p>
    <w:p w14:paraId="66DE9B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矩形顶帽的横向尺寸B按图2</w:t>
      </w:r>
      <w:r>
        <w:rPr>
          <w:rFonts w:hint="eastAsia"/>
          <w:lang w:val="en-US" w:eastAsia="zh-CN"/>
        </w:rPr>
        <w:t>.2</w:t>
      </w:r>
      <w:r>
        <w:rPr>
          <w:rFonts w:hint="default"/>
          <w:lang w:val="en-US" w:eastAsia="zh-CN"/>
        </w:rPr>
        <w:t>所示，可写为</w:t>
      </w:r>
    </w:p>
    <w:p w14:paraId="6E8287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right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2"/>
          <w:lang w:val="en-US" w:eastAsia="zh-CN"/>
        </w:rPr>
        <w:object>
          <v:shape id="_x0000_i1041" o:spt="75" type="#_x0000_t75" style="height:18pt;width:107pt;" o:ole="t" filled="f" o:preferrelative="t" stroked="f" coordsize="21600,21600"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41" DrawAspect="Content" ObjectID="_1468075736" r:id="rId2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           （2-2）</w:t>
      </w:r>
    </w:p>
    <w:p w14:paraId="40D7A0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default"/>
          <w:lang w:val="en-US" w:eastAsia="zh-CN"/>
        </w:rPr>
      </w:pPr>
    </w:p>
    <w:p w14:paraId="0E9DDD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式中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position w:val="-12"/>
          <w:lang w:val="en-US" w:eastAsia="zh-CN"/>
        </w:rPr>
        <w:object>
          <v:shape id="_x0000_i1044" o:spt="75" alt="" type="#_x0000_t75" style="height:18pt;width:13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44" DrawAspect="Content" ObjectID="_1468075737" r:id="rId30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梁梗中心横向间距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采用标准设计的桥跨时，</w:t>
      </w:r>
      <w:r>
        <w:rPr>
          <w:rFonts w:hint="default"/>
          <w:position w:val="-12"/>
          <w:lang w:val="en-US" w:eastAsia="zh-CN"/>
        </w:rPr>
        <w:object>
          <v:shape id="_x0000_i1047" o:spt="75" type="#_x0000_t75" style="height:18pt;width:13pt;" o:ole="t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Equation.KSEE3" ShapeID="_x0000_i1047" DrawAspect="Content" ObjectID="_1468075738" r:id="rId32">
            <o:LockedField>false</o:LockedField>
          </o:OLEObject>
        </w:object>
      </w:r>
      <w:r>
        <w:rPr>
          <w:rFonts w:hint="default"/>
          <w:lang w:val="en-US" w:eastAsia="zh-CN"/>
        </w:rPr>
        <w:t>值可自梁的技术参数表中查出；</w:t>
      </w:r>
    </w:p>
    <w:p w14:paraId="23E0D5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630" w:firstLineChars="3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51" o:spt="75" type="#_x0000_t75" style="height:17pt;width:13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Equation.KSEE3" ShapeID="_x0000_i1051" DrawAspect="Content" ObjectID="_1468075739" r:id="rId33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支座底板的横向宽度；</w:t>
      </w:r>
    </w:p>
    <w:p w14:paraId="569738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630" w:firstLineChars="3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position w:val="-10"/>
          <w:lang w:val="en-US" w:eastAsia="zh-CN"/>
        </w:rPr>
        <w:object>
          <v:shape id="_x0000_i1049" o:spt="75" alt="" type="#_x0000_t75" style="height:17pt;width:13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49" DrawAspect="Content" ObjectID="_1468075740" r:id="rId35">
            <o:LockedField>false</o:LockedField>
          </o:OLEObject>
        </w:object>
      </w:r>
      <w:r>
        <w:rPr>
          <w:rFonts w:hint="eastAsia" w:ascii="微软雅黑" w:hAnsi="微软雅黑" w:eastAsia="微软雅黑" w:cs="微软雅黑"/>
          <w:lang w:val="en-US" w:eastAsia="zh-CN"/>
        </w:rPr>
        <w:t>——</w:t>
      </w:r>
      <w:r>
        <w:rPr>
          <w:rFonts w:hint="default"/>
          <w:lang w:val="en-US" w:eastAsia="zh-CN"/>
        </w:rPr>
        <w:t>一支承垫石边缘至顶帽边缘的横向距离，为了养护及架梁作业的需要，矩形顶帽的</w:t>
      </w:r>
      <w:r>
        <w:rPr>
          <w:rFonts w:hint="default"/>
          <w:position w:val="-10"/>
          <w:lang w:val="en-US" w:eastAsia="zh-CN"/>
        </w:rPr>
        <w:object>
          <v:shape id="_x0000_i1050" o:spt="75" alt="" type="#_x0000_t75" style="height:17pt;width:13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Equation.KSEE3" ShapeID="_x0000_i1050" DrawAspect="Content" ObjectID="_1468075741" r:id="rId37">
            <o:LockedField>false</o:LockedField>
          </o:OLEObject>
        </w:object>
      </w:r>
      <w:r>
        <w:rPr>
          <w:rFonts w:hint="default"/>
          <w:lang w:val="en-US" w:eastAsia="zh-CN"/>
        </w:rPr>
        <w:t>不应小于0.5m；圆端形顶帽支承垫石角至顶帽最近边缘的最小距离与纵向</w:t>
      </w:r>
      <w:r>
        <w:rPr>
          <w:rFonts w:hint="default"/>
          <w:position w:val="-10"/>
          <w:lang w:val="en-US" w:eastAsia="zh-CN"/>
        </w:rPr>
        <w:object>
          <v:shape id="_x0000_i1053" o:spt="75" type="#_x0000_t75" style="height:17pt;width:13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Equation.KSEE3" ShapeID="_x0000_i1053" DrawAspect="Content" ObjectID="_1468075742" r:id="rId39">
            <o:LockedField>false</o:LockedField>
          </o:OLEObject>
        </w:object>
      </w:r>
    </w:p>
    <w:p w14:paraId="0945BE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对于分片式钢筋混凝土梁及预应力混凝土梁分片架立时，考虑到第一片梁横向移梁的需</w:t>
      </w:r>
    </w:p>
    <w:p w14:paraId="7FFB30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要及保证施工、养护人员的安全作业，顶帽横向宽度一般应采用下列数值：</w:t>
      </w:r>
    </w:p>
    <w:p w14:paraId="0A73A58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跨度L≤8m时不小于4m;</w:t>
      </w:r>
    </w:p>
    <w:p w14:paraId="296BE2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跨度8m&lt;L&lt;20m时不小于5m;</w:t>
      </w:r>
    </w:p>
    <w:p w14:paraId="6F850A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跨度L≥20m时不小于6m</w:t>
      </w:r>
      <w:r>
        <w:rPr>
          <w:rFonts w:hint="eastAsia"/>
          <w:lang w:val="en-US" w:eastAsia="zh-CN"/>
        </w:rPr>
        <w:t>。</w:t>
      </w:r>
    </w:p>
    <w:p w14:paraId="7F9BE4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托盘底面与墩身相接，其形状与墩身截面相同。为保证悬出部分的安全，《铁路桥涵设计规范》规定：托盘底面横向宽度不宜小于支座下底板外缘的间距；托盘侧面与竖直线间的β角不得大于45°；支承垫石向边缘外侧0.5m处顶帽底缘点的竖向线与该底缘点同托盘底部边缘处的连线夹角α不得大于30°，如图2</w:t>
      </w:r>
      <w:r>
        <w:rPr>
          <w:rFonts w:hint="eastAsia"/>
          <w:lang w:val="en-US" w:eastAsia="zh-CN"/>
        </w:rPr>
        <w:t>.2</w:t>
      </w:r>
      <w:r>
        <w:rPr>
          <w:rFonts w:hint="default"/>
          <w:lang w:val="en-US" w:eastAsia="zh-CN"/>
        </w:rPr>
        <w:t>所示。</w:t>
      </w:r>
    </w:p>
    <w:p w14:paraId="549184E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420" w:lef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</w:p>
    <w:p w14:paraId="6C4D41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0B26E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（三）</w:t>
      </w:r>
      <w:r>
        <w:rPr>
          <w:rFonts w:hint="eastAsia"/>
          <w:sz w:val="24"/>
          <w:szCs w:val="24"/>
          <w:lang w:val="en-US" w:eastAsia="zh-CN"/>
        </w:rPr>
        <w:t>非对称式桥墩顶帽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1.</w:t>
      </w:r>
      <w:r>
        <w:rPr>
          <w:rFonts w:hint="eastAsia"/>
          <w:lang w:val="en-US" w:eastAsia="zh-CN"/>
        </w:rPr>
        <w:t>曲线桥桥墩顶帽</w:t>
      </w:r>
      <w:r>
        <w:rPr>
          <w:rFonts w:hint="eastAsia"/>
          <w:lang w:val="en-US" w:eastAsia="zh-CN"/>
        </w:rPr>
        <w:br w:type="textWrapping"/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2682240"/>
            <wp:effectExtent l="0" t="0" r="635" b="0"/>
            <wp:docPr id="12" name="图片 12" descr="329a5ac02ff4e54f9ec54a3de39d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29a5ac02ff4e54f9ec54a3de39d36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lang w:val="en-US" w:eastAsia="zh-CN"/>
        </w:rPr>
        <w:t>.不等跨桥墩顶帽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墩身坡度一般用n：1（竖：横）表示，n愈大，坡度愈陡；n愈小，坡度愈缓。当墩身较低时约在6m以内），其墩顶及墩底受力相差不大，为施工方便，可设直坡。墩身较高时，墩身的纵、横两个方向均做成斜坡坡度不缓干20：1，县体数值应根据墩身的受力要求由试算决定。</w:t>
      </w:r>
    </w:p>
    <w:p w14:paraId="4E7F55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墩身高根据墩顶标高（由轨底标高减去梁在墩台顶处的建筑高度和顶帽高度求得）和基底埋置深度、基础厚度来确定。</w:t>
      </w:r>
    </w:p>
    <w:p w14:paraId="6C5B8C6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墩身底部尺寸可根据:墩身顶部尺寸+2××墩身高）来确定。</w:t>
      </w:r>
    </w:p>
    <w:p w14:paraId="08F8A1B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jc w:val="both"/>
        <w:textAlignment w:val="auto"/>
        <w:rPr>
          <w:rFonts w:hint="eastAsia"/>
          <w:lang w:val="en-US" w:eastAsia="zh-CN"/>
        </w:rPr>
      </w:pPr>
    </w:p>
    <w:p w14:paraId="57BE2E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="0" w:leftChars="0"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61560" cy="2789555"/>
            <wp:effectExtent l="0" t="0" r="0" b="14605"/>
            <wp:docPr id="13" name="图片 13" descr="5f72f7379fcf7b64c6dd2fda159e1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f72f7379fcf7b64c6dd2fda159e16b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4150CB"/>
    <w:multiLevelType w:val="singleLevel"/>
    <w:tmpl w:val="F04150CB"/>
    <w:lvl w:ilvl="0" w:tentative="0">
      <w:start w:val="1"/>
      <w:numFmt w:val="decimal"/>
      <w:suff w:val="nothing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719B9391"/>
    <w:multiLevelType w:val="singleLevel"/>
    <w:tmpl w:val="719B9391"/>
    <w:lvl w:ilvl="0" w:tentative="0">
      <w:start w:val="1"/>
      <w:numFmt w:val="decimal"/>
      <w:suff w:val="nothing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7245AB"/>
    <w:rsid w:val="08B17951"/>
    <w:rsid w:val="10967DE9"/>
    <w:rsid w:val="27532138"/>
    <w:rsid w:val="281D62A2"/>
    <w:rsid w:val="7D7245AB"/>
    <w:rsid w:val="7F001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20.jpeg"/><Relationship Id="rId40" Type="http://schemas.openxmlformats.org/officeDocument/2006/relationships/image" Target="media/image19.jpeg"/><Relationship Id="rId4" Type="http://schemas.openxmlformats.org/officeDocument/2006/relationships/image" Target="media/image1.jpeg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oleObject" Target="embeddings/oleObject14.bin"/><Relationship Id="rId31" Type="http://schemas.openxmlformats.org/officeDocument/2006/relationships/image" Target="media/image15.wmf"/><Relationship Id="rId30" Type="http://schemas.openxmlformats.org/officeDocument/2006/relationships/oleObject" Target="embeddings/oleObject13.bin"/><Relationship Id="rId3" Type="http://schemas.openxmlformats.org/officeDocument/2006/relationships/theme" Target="theme/theme1.xml"/><Relationship Id="rId29" Type="http://schemas.openxmlformats.org/officeDocument/2006/relationships/image" Target="media/image14.wmf"/><Relationship Id="rId28" Type="http://schemas.openxmlformats.org/officeDocument/2006/relationships/oleObject" Target="embeddings/oleObject12.bin"/><Relationship Id="rId27" Type="http://schemas.openxmlformats.org/officeDocument/2006/relationships/image" Target="media/image13.wmf"/><Relationship Id="rId26" Type="http://schemas.openxmlformats.org/officeDocument/2006/relationships/oleObject" Target="embeddings/oleObject11.bin"/><Relationship Id="rId25" Type="http://schemas.openxmlformats.org/officeDocument/2006/relationships/image" Target="media/image12.w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wmf"/><Relationship Id="rId22" Type="http://schemas.openxmlformats.org/officeDocument/2006/relationships/oleObject" Target="embeddings/oleObject9.bin"/><Relationship Id="rId21" Type="http://schemas.openxmlformats.org/officeDocument/2006/relationships/image" Target="media/image10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7.bin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2025-03-02T12:03:00Z</dcterms:created>
  <dc:creator>李伟</dc:creator>
  <cp:lastModifiedBy>李伟</cp:lastModifiedBy>
  <dcterms:modified xsi:type="dcterms:W3CDTF">2025-03-02T14:11:15Z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5FDFA2D9F723470E925F1021FB118DB3_11</vt:lpwstr>
  </property>
  <property fmtid="{D5CDD505-2E9C-101B-9397-08002B2CF9AE}" pid="4" name="KSOTemplateDocerSaveRecord">
    <vt:lpwstr>eyJoZGlkIjoiZWU5YmI2MjEwMGRiZGY5MDBkYjJlYWQzM2RmN2UxZjAiLCJ1c2VySWQiOiIxNjU0MzE3Mjg0In0=</vt:lpwstr>
  </property>
</Properties>
</file>