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FBBFC" w14:textId="77777777" w:rsidR="00D757F5" w:rsidRPr="00D757F5" w:rsidRDefault="00D757F5" w:rsidP="00D757F5">
      <w:pPr>
        <w:rPr>
          <w:b/>
          <w:bCs/>
        </w:rPr>
      </w:pPr>
      <w:r w:rsidRPr="00D757F5">
        <w:rPr>
          <w:b/>
          <w:bCs/>
        </w:rPr>
        <w:t>The impact and Predictive Power of On-Chain Data on the Cryptocurrency Price using Transformers</w:t>
      </w:r>
    </w:p>
    <w:p w14:paraId="365B9EE5" w14:textId="77777777" w:rsidR="00D757F5" w:rsidRPr="00D757F5" w:rsidRDefault="00D757F5" w:rsidP="00D757F5">
      <w:pPr>
        <w:rPr>
          <w:b/>
          <w:bCs/>
        </w:rPr>
      </w:pPr>
      <w:r w:rsidRPr="00D757F5">
        <w:rPr>
          <w:b/>
          <w:bCs/>
        </w:rPr>
        <w:t>1. Introduction to the Paradigm Shift in Quantitative Finance</w:t>
      </w:r>
    </w:p>
    <w:p w14:paraId="73EB83B1" w14:textId="77777777" w:rsidR="00D757F5" w:rsidRPr="00D757F5" w:rsidRDefault="00D757F5" w:rsidP="00D757F5">
      <w:r w:rsidRPr="00D757F5">
        <w:t>The integration of artificial intelligence within decentralized finance has fundamentally altered the landscape of quantitative trading, shifting the discipline from classical statistical inference to highly complex, multi-modal deep learning architectures. Cryptographic asset markets, primarily the Bitcoin ecosystem, are inherently characterized by extreme volatility, nonlinear pricing dependencies, and a profound sensitivity to rapid macroeconomic regime shifts. For decades, quantitative analysts and institutional risk managers relied heavily on autoregressive structures, moving average frameworks, and exponential smoothing techniques—such as AR, MA, and EMA models—to forecast asset prices and allocate capital. While these classical statistical models remain computationally efficient and retain utility in highly constrained, short-term scenarios, they possess fundamental structural limitations. Primarily, linear architectures and standard statistical models are mathematically incapable of capturing the long-term temporal dependencies, rapid sentiment inversions, and micro-structural ledger shifts that dictate modern digital asset ecosystems.</w:t>
      </w:r>
    </w:p>
    <w:p w14:paraId="2D280899" w14:textId="77777777" w:rsidR="00D757F5" w:rsidRPr="00D757F5" w:rsidRDefault="00D757F5" w:rsidP="00D757F5">
      <w:r w:rsidRPr="00D757F5">
        <w:t xml:space="preserve">In response to the deficiencies of linear modeling, the financial technology sector widely adopted deep learning architectures, most notably Long Short-Term Memory (LSTM) networks, Gated Recurrent Units (GRU), and various </w:t>
      </w:r>
      <w:proofErr w:type="spellStart"/>
      <w:r w:rsidRPr="00D757F5">
        <w:t>ResNet</w:t>
      </w:r>
      <w:proofErr w:type="spellEnd"/>
      <w:r w:rsidRPr="00D757F5">
        <w:t>-based systems. LSTMs demonstrated significant utility in modeling sequential financial data due to their ability to retain memory of past market states through internal gating mechanisms. However, the application of recurrent architectures in highly volatile cryptographic markets introduced a new set of severe architectural limitations. Recurrent neural networks are structurally constrained by sequential processing, which limits parallelization and typically caps their effective long-range dependency retention at approximately sixty discrete time steps, preventing them from contextualizing broad macroeconomic cycles.</w:t>
      </w:r>
    </w:p>
    <w:p w14:paraId="73DEB39D" w14:textId="77777777" w:rsidR="00D757F5" w:rsidRPr="00D757F5" w:rsidRDefault="00D757F5" w:rsidP="00D757F5">
      <w:r w:rsidRPr="00D757F5">
        <w:t>More critically, traditional deep learning models optimized for financial forecasting have historically suffered from a symmetric optimization bias. By optimizing for standard loss functions, such as Mean Squared Error (MSE) or Root Mean Squared Error (RMSE), these models treat false-positive signals—such as predicting a price increase that does not materialize—and false-negative signals—such as missing a profitable upward trend—as equally detrimental to the system's performance. In algorithmic trading, this mathematical symmetry is catastrophic. A false positive during a macroeconomic market crash results in severe capital destruction, whereas a false negative merely results in an opportunity cost. This highlights the absolute necessity for asymmetric risk management and algorithmic capital preservation strategies in autonomous financial systems.</w:t>
      </w:r>
    </w:p>
    <w:p w14:paraId="419D8CAA" w14:textId="77777777" w:rsidR="00D757F5" w:rsidRPr="00D757F5" w:rsidRDefault="00D757F5" w:rsidP="00D757F5">
      <w:r w:rsidRPr="00D757F5">
        <w:t xml:space="preserve">Concurrently, the institutional adoption of algorithmic trading models is heavily impeded by the opaque, "black box" nature of deep neural networks. Predictive performance alone, regardless of its accuracy, cannot justify the production deployment of autonomous capital allocation systems. Modern regulatory frameworks and institutional risk mandates demand stringent explainability, absolute accountability, and the capacity to trace specific market inputs to automated outputs. The necessity for an immutable audit trail—a transparent, cryptographically secure log of AI decision-making—has transitioned from an academic concept to a fundamental regulatory requirement, particularly </w:t>
      </w:r>
      <w:proofErr w:type="gramStart"/>
      <w:r w:rsidRPr="00D757F5">
        <w:t>in light of</w:t>
      </w:r>
      <w:proofErr w:type="gramEnd"/>
      <w:r w:rsidRPr="00D757F5">
        <w:t xml:space="preserve"> emerging legislation such as the European Union's AI Act and the General Data Protection Regulation (GDPR).</w:t>
      </w:r>
    </w:p>
    <w:p w14:paraId="542A2EB2" w14:textId="77777777" w:rsidR="00D757F5" w:rsidRPr="00D757F5" w:rsidRDefault="00D757F5" w:rsidP="00D757F5">
      <w:r w:rsidRPr="00D757F5">
        <w:t xml:space="preserve">While Temporal Fusion Transformers have applied attention mechanisms to on-chain forecasting, existing approaches (1) concatenate heterogeneous modalities into single-vector representations, obscuring signal-specific dynamics; (2) optimize for symmetric error metrics (RMSE/accuracy) ill-suited to crypto's asymmetric risk profile; and (3) rely on high-dimensional feature sets (196+ variables) from proprietary data sources. We address these limitations through the proposed framework, the first architecture to: (a) process on-chain and sentiment </w:t>
      </w:r>
      <w:r w:rsidRPr="00D757F5">
        <w:lastRenderedPageBreak/>
        <w:t>modalities through separate transformer encoders with learned fusion; (b) implement class-weighted optimization for capital preservation (60% drawdown reduction during the March 2026 crash) ; and (c) demonstrate that 13 carefully selected free-tier features outperform 196-variable proprietary benchmarks when processed through modality-specific attention. Furthermore, recognizing that autonomous financial systems executing trades via APIs are prime targets for adversarial exploitation, this report thoroughly analyzes the integration of advanced Large Language Model (LLM) vulnerability detection frameworks to secure the execution environment.</w:t>
      </w:r>
    </w:p>
    <w:p w14:paraId="714E53CE" w14:textId="77777777" w:rsidR="00D757F5" w:rsidRPr="00D757F5" w:rsidRDefault="00D757F5" w:rsidP="00D757F5">
      <w:pPr>
        <w:rPr>
          <w:b/>
          <w:bCs/>
        </w:rPr>
      </w:pPr>
      <w:r w:rsidRPr="00D757F5">
        <w:rPr>
          <w:b/>
          <w:bCs/>
        </w:rPr>
        <w:t>2. Evolution of Predictive Architectures in Non-Stationary Markets</w:t>
      </w:r>
    </w:p>
    <w:p w14:paraId="64F1EA50" w14:textId="77777777" w:rsidR="00D757F5" w:rsidRPr="00D757F5" w:rsidRDefault="00D757F5" w:rsidP="00D757F5">
      <w:r w:rsidRPr="00D757F5">
        <w:t>To understand the architectural decisions underlying the proposed framework, it is imperative to analyze the evolutionary trajectory of predictive architectures in financial time-series forecasting. The transition from linear to non-linear modeling represents a continuous pursuit of capturing the complex, hidden variables that dictate market micro-structure.</w:t>
      </w:r>
    </w:p>
    <w:p w14:paraId="2FB6EF3B" w14:textId="77777777" w:rsidR="00D757F5" w:rsidRPr="00D757F5" w:rsidRDefault="00D757F5" w:rsidP="00D757F5">
      <w:pPr>
        <w:rPr>
          <w:b/>
          <w:bCs/>
        </w:rPr>
      </w:pPr>
      <w:r w:rsidRPr="00D757F5">
        <w:rPr>
          <w:b/>
          <w:bCs/>
        </w:rPr>
        <w:t>2.1 Limitations of Autoregressive and Recurrent Models</w:t>
      </w:r>
    </w:p>
    <w:p w14:paraId="1804810E" w14:textId="77777777" w:rsidR="00D757F5" w:rsidRPr="00D757F5" w:rsidRDefault="00D757F5" w:rsidP="00D757F5">
      <w:r w:rsidRPr="00D757F5">
        <w:t>Classical models such as the Autoregressive Integrated Moving Average (ARIMA) or Vector Autoregression (VAR) operate under the strict mathematical assumption of stationarity, requiring the statistical properties of a time series—such as mean and variance—to remain constant over time. Cryptographic markets, however, are inherently non-stationary, characterized by wild variance spikes, regulatory shocks, and structural breaks in correlation. When classical models encounter these non-stationary environments, their predictive fidelity collapses, as they attempt to extrapolate future prices based on linear historical relationships that have fundamentally ceased to exist.</w:t>
      </w:r>
    </w:p>
    <w:p w14:paraId="7FD7A8A9" w14:textId="77777777" w:rsidR="00D757F5" w:rsidRPr="00D757F5" w:rsidRDefault="00D757F5" w:rsidP="00D757F5">
      <w:r w:rsidRPr="00D757F5">
        <w:t xml:space="preserve">The introduction of deep learning, particularly LSTMs and GRUs, offered a partial resolution. By utilizing non-linear activation functions and hidden state memory, these models could map complex relationships between disparate variables. However, empirical competitions and extensive literature reviews demonstrate that while recurrent models excel on homogeneous datasets, they struggle profoundly with heterogeneous, multi-modal data streams typical of modern financial analysis. In a recurrent network, data must be processed sequentially. If a model is </w:t>
      </w:r>
      <w:proofErr w:type="spellStart"/>
      <w:r w:rsidRPr="00D757F5">
        <w:t>analyzing</w:t>
      </w:r>
      <w:proofErr w:type="spellEnd"/>
      <w:r w:rsidRPr="00D757F5">
        <w:t xml:space="preserve"> 365 days of historical data, the influence of day one must pass through 364 mathematical transformations before reaching the current prediction step. This sequential bottleneck leads to the vanishing gradient problem, where the model essentially forgets vital macroeconomic signals from the distant past. In the context of Bitcoin, where four-year halving cycles dictate macro-valuation, a model limited to a short-term memory window is fundamentally blind to the broader market context.</w:t>
      </w:r>
    </w:p>
    <w:p w14:paraId="0F6E4C8A" w14:textId="77777777" w:rsidR="00D757F5" w:rsidRPr="00D757F5" w:rsidRDefault="00D757F5" w:rsidP="00D757F5">
      <w:pPr>
        <w:rPr>
          <w:b/>
          <w:bCs/>
        </w:rPr>
      </w:pPr>
      <w:r w:rsidRPr="00D757F5">
        <w:rPr>
          <w:b/>
          <w:bCs/>
        </w:rPr>
        <w:t>2.2 The Temporal Fusion Transformer and Attention Mechanisms</w:t>
      </w:r>
    </w:p>
    <w:p w14:paraId="157B0867" w14:textId="77777777" w:rsidR="00D757F5" w:rsidRPr="00D757F5" w:rsidRDefault="00D757F5" w:rsidP="00D757F5">
      <w:r w:rsidRPr="00D757F5">
        <w:t xml:space="preserve">The systemic limitations of recurrent architectures were circumvented by the introduction of Transformer models, which abandoned sequential processing entirely in </w:t>
      </w:r>
      <w:proofErr w:type="spellStart"/>
      <w:r w:rsidRPr="00D757F5">
        <w:t>favor</w:t>
      </w:r>
      <w:proofErr w:type="spellEnd"/>
      <w:r w:rsidRPr="00D757F5">
        <w:t xml:space="preserve"> of self-attention mechanisms. Self-attention allows a neural network to process an entire sequence of data simultaneously, computing an attention matrix that defines the mathematical relationship between every single time step and every other time step, regardless of their chronological distance. This global receptive field enables Transformers to capture long-range dependencies seamlessly, identifying correlations between a specific on-chain metric </w:t>
      </w:r>
      <w:proofErr w:type="spellStart"/>
      <w:r w:rsidRPr="00D757F5">
        <w:t>behavior</w:t>
      </w:r>
      <w:proofErr w:type="spellEnd"/>
      <w:r w:rsidRPr="00D757F5">
        <w:t xml:space="preserve"> occurring today and a similar pattern that occurred years prior.</w:t>
      </w:r>
    </w:p>
    <w:p w14:paraId="2BFE08B9" w14:textId="77777777" w:rsidR="00D757F5" w:rsidRPr="00D757F5" w:rsidRDefault="00D757F5" w:rsidP="00D757F5">
      <w:r w:rsidRPr="00D757F5">
        <w:t xml:space="preserve">Within the domain of cryptocurrency forecasting, the Temporal Fusion Transformer (TFT) has emerged as a particularly robust architecture. The TFT combines multi-head self-attention with specialized time-series components, including gating layers that suppress unnecessary features, variable selection networks that weigh the importance of dynamic inputs, and specialized time-handling layers. TFT architectures have demonstrated superior performance over LSTMs by integrating both static metadata and dynamic, time-varying features into a unified structure, capturing complex </w:t>
      </w:r>
      <w:proofErr w:type="spellStart"/>
      <w:r w:rsidRPr="00D757F5">
        <w:t>behavioral</w:t>
      </w:r>
      <w:proofErr w:type="spellEnd"/>
      <w:r w:rsidRPr="00D757F5">
        <w:t xml:space="preserve"> patterns across multiple major cryptocurrencies.</w:t>
      </w:r>
    </w:p>
    <w:p w14:paraId="4BA1689D" w14:textId="77777777" w:rsidR="00D757F5" w:rsidRPr="00D757F5" w:rsidRDefault="00D757F5" w:rsidP="00D757F5">
      <w:r w:rsidRPr="00D757F5">
        <w:t xml:space="preserve">However, direct implementation of standard TFTs in highly volatile environments often yields suboptimal results due to the phenomenon of feature dilution. When highly disparate data </w:t>
      </w:r>
      <w:r w:rsidRPr="00D757F5">
        <w:lastRenderedPageBreak/>
        <w:t>modalities—such as the deterministic, mathematical truth of blockchain ledger data and the highly stochastic, noisy nature of human sentiment derived from social media or search trends—are fed into a single, unified attention mechanism, the network struggles to isolate the distinct signals. The noisy sentiment data can inadvertently drown out the subtle, high-fidelity signals originating from the on-chain ledger. The proposed architecture resolves this critical flaw through its Dual-Head topological design.</w:t>
      </w:r>
    </w:p>
    <w:p w14:paraId="0A372CD9" w14:textId="77777777" w:rsidR="00D757F5" w:rsidRPr="00D757F5" w:rsidRDefault="00D757F5" w:rsidP="00D757F5">
      <w:pPr>
        <w:rPr>
          <w:b/>
          <w:bCs/>
        </w:rPr>
      </w:pPr>
      <w:r w:rsidRPr="00D757F5">
        <w:rPr>
          <w:b/>
          <w:bCs/>
        </w:rPr>
        <w:t>3. The Dual-Head Topology and Data Ingestion Pipeline</w:t>
      </w:r>
    </w:p>
    <w:p w14:paraId="01C04432" w14:textId="77777777" w:rsidR="00D757F5" w:rsidRPr="00D757F5" w:rsidRDefault="00D757F5" w:rsidP="00D757F5">
      <w:r w:rsidRPr="00D757F5">
        <w:t>The foundation of the predictive engine relies on high-fidelity, multi-source data aggregation, utilizing an inner-join methodology to synchronize disparate data streams into a coherent temporal sequence. The system was developed using strictly open-source and freely available data streams to establish a rigorous baseline, with the architectural capacity to integrate premium, proprietary institutional data feeds to drastically improve predictive resolution in subsequent iterations.</w:t>
      </w:r>
    </w:p>
    <w:p w14:paraId="4804F0F4" w14:textId="77777777" w:rsidR="00D757F5" w:rsidRPr="00D757F5" w:rsidRDefault="00D757F5" w:rsidP="00D757F5">
      <w:pPr>
        <w:rPr>
          <w:b/>
          <w:bCs/>
        </w:rPr>
      </w:pPr>
      <w:r w:rsidRPr="00D757F5">
        <w:rPr>
          <w:b/>
          <w:bCs/>
        </w:rPr>
        <w:t>3.1 Data Aggregation and Feature Engineering</w:t>
      </w:r>
    </w:p>
    <w:p w14:paraId="009CA2BA" w14:textId="77777777" w:rsidR="00D757F5" w:rsidRPr="00D757F5" w:rsidRDefault="00D757F5" w:rsidP="00D757F5">
      <w:r w:rsidRPr="00D757F5">
        <w:t xml:space="preserve">The ingestion pipeline aggregates raw feeds from the Binance API for high-frequency pricing data, Bloomberg for broader macroeconomic indicators, and </w:t>
      </w:r>
      <w:proofErr w:type="spellStart"/>
      <w:r w:rsidRPr="00D757F5">
        <w:t>CoinMetrics</w:t>
      </w:r>
      <w:proofErr w:type="spellEnd"/>
      <w:r w:rsidRPr="00D757F5">
        <w:t xml:space="preserve"> for deep on-chain blockchain repositories. To ensure temporal alignment, which is critical for sequence-based modeling, the system executes a programmatic inner join, merging the datasets based on a normalized datetime index. Crucially, the pipeline enforces strict data hygiene by systematically dropping incomplete rows, preventing sequence corruption or hallucinated imputations during the training phase.</w:t>
      </w:r>
    </w:p>
    <w:p w14:paraId="141B7B23" w14:textId="77777777" w:rsidR="00D757F5" w:rsidRPr="00D757F5" w:rsidRDefault="00D757F5" w:rsidP="00D757F5">
      <w:r w:rsidRPr="00D757F5">
        <w:t>Feature engineering within the system is designed to extract maximal predictive variance using a highly efficient 13-feature set. The core engineered features extend beyond simple price action, incorporating:</w:t>
      </w:r>
    </w:p>
    <w:p w14:paraId="7D4F9EB7" w14:textId="77777777" w:rsidR="00D757F5" w:rsidRPr="00D757F5" w:rsidRDefault="00D757F5" w:rsidP="00D757F5">
      <w:pPr>
        <w:numPr>
          <w:ilvl w:val="0"/>
          <w:numId w:val="4"/>
        </w:numPr>
      </w:pPr>
      <w:r w:rsidRPr="00D757F5">
        <w:t>Volatility Metrics: The calculation of 7-day, 14-day, 30-day, and 90-day rolling standard deviations of logarithmic daily returns, providing the model with a granular understanding of localized and macro variance expansion.</w:t>
      </w:r>
    </w:p>
    <w:p w14:paraId="7288D63D" w14:textId="77777777" w:rsidR="00D757F5" w:rsidRPr="00D757F5" w:rsidRDefault="00D757F5" w:rsidP="00D757F5">
      <w:pPr>
        <w:numPr>
          <w:ilvl w:val="0"/>
          <w:numId w:val="4"/>
        </w:numPr>
      </w:pPr>
      <w:r w:rsidRPr="00D757F5">
        <w:t>Moving Average Convergence: The implementation of 7-day and 30-day moving averages, alongside the dynamic Price-to-Moving-Average ratio, allowing the network to identify localized overextension and mean-reversion probabilities.</w:t>
      </w:r>
    </w:p>
    <w:p w14:paraId="068FDF38" w14:textId="77777777" w:rsidR="00D757F5" w:rsidRPr="00D757F5" w:rsidRDefault="00D757F5" w:rsidP="00D757F5">
      <w:pPr>
        <w:numPr>
          <w:ilvl w:val="0"/>
          <w:numId w:val="4"/>
        </w:numPr>
      </w:pPr>
      <w:r w:rsidRPr="00D757F5">
        <w:t>Network Utility Ratios: A highly specific ratio dividing the total Transaction Count by the Active Address Count. This metric serves as a proxy for organic network utility, distinguishing genuine economic activity from automated, low-value spam transactions.</w:t>
      </w:r>
    </w:p>
    <w:p w14:paraId="587320F6" w14:textId="77777777" w:rsidR="00D757F5" w:rsidRPr="00D757F5" w:rsidRDefault="00D757F5" w:rsidP="00D757F5">
      <w:r w:rsidRPr="00D757F5">
        <w:t xml:space="preserve">To filter noise and eliminate collinear features that could destabilize the attention mechanisms, the system employs the Boruta algorithm, a highly aggressive dimensionality reduction wrapper built around a Random Forest Classifier. Boruta iteratively compares the importance of original features against randomized shadow features, ruthlessly discarding any inputs that fail to demonstrate statistically significant predictive fidelity, leaving only the most pristine 13 signals. Prior to sequence generation, the entire feature space is normalized using the </w:t>
      </w:r>
      <w:proofErr w:type="spellStart"/>
      <w:r w:rsidRPr="00D757F5">
        <w:t>MinMaxScaler</w:t>
      </w:r>
      <w:proofErr w:type="spellEnd"/>
      <w:r w:rsidRPr="00D757F5">
        <w:t xml:space="preserve"> algorithm, restricting values between zero and one to ensure stable gradient descent and optimal convergence during the training of the transformer's dense neural </w:t>
      </w:r>
      <w:proofErr w:type="gramStart"/>
      <w:r w:rsidRPr="00D757F5">
        <w:t>layers.[</w:t>
      </w:r>
      <w:proofErr w:type="gramEnd"/>
      <w:r w:rsidRPr="00D757F5">
        <w:t>4, 4]</w:t>
      </w:r>
    </w:p>
    <w:p w14:paraId="53C4715B" w14:textId="77777777" w:rsidR="00D757F5" w:rsidRPr="00D757F5" w:rsidRDefault="00D757F5" w:rsidP="00D757F5">
      <w:pPr>
        <w:rPr>
          <w:b/>
          <w:bCs/>
        </w:rPr>
      </w:pPr>
      <w:r w:rsidRPr="00D757F5">
        <w:rPr>
          <w:b/>
          <w:bCs/>
        </w:rPr>
        <w:t>3.2 Sequence Windowing and Positional Encoding</w:t>
      </w:r>
    </w:p>
    <w:p w14:paraId="323D90CB" w14:textId="77777777" w:rsidR="00D757F5" w:rsidRPr="00D757F5" w:rsidRDefault="00D757F5" w:rsidP="00D757F5">
      <w:r w:rsidRPr="00D757F5">
        <w:t>Because the self-attention operations within a Transformer are entirely permutation-invariant—meaning the network processes data as an unordered set rather than a chronological sequence—temporal context must be explicitly injected into the data matrix. The proposed architecture achieves this through mathematical Positional Encoding, generating a unique time-stamp vector via alternating sine and cosine functions that allows the model to understand the relative position of each data point.</w:t>
      </w:r>
    </w:p>
    <w:p w14:paraId="7EE88253" w14:textId="77777777" w:rsidR="00D757F5" w:rsidRPr="00D757F5" w:rsidRDefault="00D757F5" w:rsidP="00D757F5">
      <w:r w:rsidRPr="00D757F5">
        <w:t xml:space="preserve">The continuous, multi-variate time-series data is then segmented using a sliding window technique. The data is divided into overlapping five-day conceptual chunks, parameterized into strict sequences of exactly sixty </w:t>
      </w:r>
      <w:proofErr w:type="gramStart"/>
      <w:r w:rsidRPr="00D757F5">
        <w:t>steps.[</w:t>
      </w:r>
      <w:proofErr w:type="gramEnd"/>
      <w:r w:rsidRPr="00D757F5">
        <w:t xml:space="preserve">4, 4] This specific sequence length was mathematically </w:t>
      </w:r>
      <w:r w:rsidRPr="00D757F5">
        <w:lastRenderedPageBreak/>
        <w:t>optimized to capture sufficient short-term volatility patterns without diluting the computational efficiency of the attention matrices.</w:t>
      </w:r>
    </w:p>
    <w:p w14:paraId="38DCAE67" w14:textId="77777777" w:rsidR="00D757F5" w:rsidRPr="00D757F5" w:rsidRDefault="00D757F5" w:rsidP="00D757F5">
      <w:pPr>
        <w:rPr>
          <w:b/>
          <w:bCs/>
        </w:rPr>
      </w:pPr>
      <w:r w:rsidRPr="00D757F5">
        <w:rPr>
          <w:b/>
          <w:bCs/>
        </w:rPr>
        <w:t>3.3 The Isolated Computation Graphs</w:t>
      </w:r>
    </w:p>
    <w:p w14:paraId="051B6FD3" w14:textId="77777777" w:rsidR="00D757F5" w:rsidRPr="00D757F5" w:rsidRDefault="00D757F5" w:rsidP="00D757F5">
      <w:r w:rsidRPr="00D757F5">
        <w:t xml:space="preserve">The defining innovation of the architecture is the division of the processed sequences into two entirely isolated, specialized transformer </w:t>
      </w:r>
      <w:proofErr w:type="gramStart"/>
      <w:r w:rsidRPr="00D757F5">
        <w:t>heads.[</w:t>
      </w:r>
      <w:proofErr w:type="gramEnd"/>
      <w:r w:rsidRPr="00D757F5">
        <w:t>4, 4] This Dual-Head approach guarantees that the deterministic data of the blockchain and the stochastic data of human sentiment are processed independently, allowing each modality to develop highly distinct internal representations before synthesis.</w:t>
      </w:r>
    </w:p>
    <w:p w14:paraId="089DB34B" w14:textId="77777777" w:rsidR="00D757F5" w:rsidRPr="00D757F5" w:rsidRDefault="00D757F5" w:rsidP="00D757F5">
      <w:pPr>
        <w:rPr>
          <w:b/>
          <w:bCs/>
        </w:rPr>
      </w:pPr>
      <w:r w:rsidRPr="00D757F5">
        <w:rPr>
          <w:b/>
          <w:bCs/>
        </w:rPr>
        <w:t>3.3.1 Head 1: The Deterministic On-Chain Modality</w:t>
      </w:r>
    </w:p>
    <w:p w14:paraId="24F3FC38" w14:textId="77777777" w:rsidR="00D757F5" w:rsidRPr="00D757F5" w:rsidRDefault="00D757F5" w:rsidP="00D757F5">
      <w:r w:rsidRPr="00D757F5">
        <w:t xml:space="preserve">The first computation graph is strictly dedicated to </w:t>
      </w:r>
      <w:proofErr w:type="spellStart"/>
      <w:r w:rsidRPr="00D757F5">
        <w:t>analyzing</w:t>
      </w:r>
      <w:proofErr w:type="spellEnd"/>
      <w:r w:rsidRPr="00D757F5">
        <w:t xml:space="preserve"> the deterministic mechanics and fundamental truths recorded on the Bitcoin blockchain.[4, 4] On-chain analysis represents a paradigm shift in financial modeling; unlike traditional equities, where capital flows are obscured by opaque banking systems, the blockchain provides a publicly verifiable, real-time ledger of all global transactions.</w:t>
      </w:r>
    </w:p>
    <w:p w14:paraId="3F1FBE1F" w14:textId="77777777" w:rsidR="00D757F5" w:rsidRPr="00D757F5" w:rsidRDefault="00D757F5" w:rsidP="00D757F5">
      <w:r w:rsidRPr="00D757F5">
        <w:t xml:space="preserve">This specific head processes critical metrics such as the Market Value to Realized Value (MVRV) ratio, which serves as a macroscopic oscillator tracking the aggregate profitability of the entire network. When MVRV reaches extreme highs, it signals that </w:t>
      </w:r>
      <w:proofErr w:type="gramStart"/>
      <w:r w:rsidRPr="00D757F5">
        <w:t>the majority of</w:t>
      </w:r>
      <w:proofErr w:type="gramEnd"/>
      <w:r w:rsidRPr="00D757F5">
        <w:t xml:space="preserve"> market participants hold massive unrealized profits, highly indicative of a macroeconomic top and impending sell pressure. Concurrently, this head tracks Exchange Net Flows, monitoring the movement of aggregate capital onto centralized liquidity </w:t>
      </w:r>
      <w:proofErr w:type="gramStart"/>
      <w:r w:rsidRPr="00D757F5">
        <w:t>providers.[</w:t>
      </w:r>
      <w:proofErr w:type="gramEnd"/>
      <w:r w:rsidRPr="00D757F5">
        <w:t>4, 4] A sudden influx of capital to exchanges typically represents "whale" entities preparing to liquidate holdings, providing a deterministic leading indicator of downside volatility. By isolating these metrics, the On-Chain Head learns the precise mechanical rhythms of accumulation and distribution cycles without being contaminated by fleeting news cycles or social media panic.</w:t>
      </w:r>
    </w:p>
    <w:p w14:paraId="3FCD7391" w14:textId="77777777" w:rsidR="00D757F5" w:rsidRPr="00D757F5" w:rsidRDefault="00D757F5" w:rsidP="00D757F5">
      <w:pPr>
        <w:rPr>
          <w:b/>
          <w:bCs/>
        </w:rPr>
      </w:pPr>
      <w:r w:rsidRPr="00D757F5">
        <w:rPr>
          <w:b/>
          <w:bCs/>
        </w:rPr>
        <w:t>3.3.2 Head 2: The Stochastic Sentiment Modality</w:t>
      </w:r>
    </w:p>
    <w:p w14:paraId="47D76661" w14:textId="77777777" w:rsidR="00D757F5" w:rsidRPr="00D757F5" w:rsidRDefault="00D757F5" w:rsidP="00D757F5">
      <w:r w:rsidRPr="00D757F5">
        <w:t xml:space="preserve">The parallel computation graph is engineered to capture the stochastic, highly volatile nature of human </w:t>
      </w:r>
      <w:proofErr w:type="spellStart"/>
      <w:r w:rsidRPr="00D757F5">
        <w:t>behavioral</w:t>
      </w:r>
      <w:proofErr w:type="spellEnd"/>
      <w:r w:rsidRPr="00D757F5">
        <w:t xml:space="preserve"> economics. Cryptocurrency markets are uniquely driven by retail sentiment, making </w:t>
      </w:r>
      <w:proofErr w:type="spellStart"/>
      <w:r w:rsidRPr="00D757F5">
        <w:t>behavioral</w:t>
      </w:r>
      <w:proofErr w:type="spellEnd"/>
      <w:r w:rsidRPr="00D757F5">
        <w:t xml:space="preserve"> quantification a necessary component of any predictive framework. This head analyzes the Crypto Fear &amp; Greed index alongside normalized Google Trends search volumes to quantify absolute retail market euphoria or sheer </w:t>
      </w:r>
      <w:proofErr w:type="gramStart"/>
      <w:r w:rsidRPr="00D757F5">
        <w:t>panic.[</w:t>
      </w:r>
      <w:proofErr w:type="gramEnd"/>
      <w:r w:rsidRPr="00D757F5">
        <w:t>4, 4]</w:t>
      </w:r>
    </w:p>
    <w:p w14:paraId="2D7F75E0" w14:textId="77777777" w:rsidR="00D757F5" w:rsidRPr="00D757F5" w:rsidRDefault="00D757F5" w:rsidP="00D757F5">
      <w:r w:rsidRPr="00D757F5">
        <w:t>By operating independently, the Sentiment Head learns to identify the specific signatures of emotional capitulation and irrational exuberance. Often, fundamental on-chain data will signal strength while sentiment data signals extreme fear—a classic contrarian buying opportunity. By maintaining isolation until the final processing stage, the model can weigh these conflicting signals accurately.</w:t>
      </w:r>
    </w:p>
    <w:p w14:paraId="0DD9D5AA" w14:textId="77777777" w:rsidR="00D757F5" w:rsidRPr="00D757F5" w:rsidRDefault="00D757F5" w:rsidP="00D757F5">
      <w:r w:rsidRPr="00D757F5">
        <w:t>Both transformer heads utilize highly customized encoders featuring Multi-Head Attention mechanisms, Dropout layers for aggressive regularization to prevent overfitting, Layer Normalization, and Conv1D layers for localized, high-frequency pattern extraction. Finally, a GlobalAveragePooling1D layer is applied to reduce the dimensionality of each sequence, distilling the complex temporal patterns into dense representations before they reach the fusion stage.</w:t>
      </w:r>
    </w:p>
    <w:p w14:paraId="78E69294" w14:textId="77777777" w:rsidR="00D757F5" w:rsidRPr="00D757F5" w:rsidRDefault="00D757F5" w:rsidP="00D757F5">
      <w:pPr>
        <w:rPr>
          <w:b/>
          <w:bCs/>
        </w:rPr>
      </w:pPr>
      <w:r w:rsidRPr="00D757F5">
        <w:rPr>
          <w:b/>
          <w:bCs/>
        </w:rPr>
        <w:t>3.4 The Fusion Layer and Directional Output Synthesis</w:t>
      </w:r>
    </w:p>
    <w:p w14:paraId="40921DF8" w14:textId="77777777" w:rsidR="00D757F5" w:rsidRPr="00D757F5" w:rsidRDefault="00D757F5" w:rsidP="00D757F5">
      <w:r w:rsidRPr="00D757F5">
        <w:t xml:space="preserve">The distinct output vectors generated by the On-Chain and Sentiment heads converge within the Fusion Layer. Here, the representations are mathematically concatenated, forming a highly dense 128-dimensional tensor. This unified tensor acts as the holistic representation of the market's current fundamental and </w:t>
      </w:r>
      <w:proofErr w:type="spellStart"/>
      <w:r w:rsidRPr="00D757F5">
        <w:t>behavioral</w:t>
      </w:r>
      <w:proofErr w:type="spellEnd"/>
      <w:r w:rsidRPr="00D757F5">
        <w:t xml:space="preserve"> state.</w:t>
      </w:r>
    </w:p>
    <w:p w14:paraId="409483A4" w14:textId="77777777" w:rsidR="00D757F5" w:rsidRPr="00D757F5" w:rsidRDefault="00D757F5" w:rsidP="00D757F5">
      <w:r w:rsidRPr="00D757F5">
        <w:t xml:space="preserve">This tensor is subsequently passed through a final dense neural network layer equipped with a Sigmoid activation function. The utilization of the Sigmoid function maps the 128-dimensional output into a continuous probability distribution strictly bounded between zero and one. Crucially, the system translates this probability into deterministic, binary directional signals—predicting purely market trajectory (Up or Down)—to inform automated trading states (HOLD, </w:t>
      </w:r>
      <w:r w:rsidRPr="00D757F5">
        <w:lastRenderedPageBreak/>
        <w:t>ACCUMULATE, or DISTRIBUTE</w:t>
      </w:r>
      <w:proofErr w:type="gramStart"/>
      <w:r w:rsidRPr="00D757F5">
        <w:t>).[</w:t>
      </w:r>
      <w:proofErr w:type="gramEnd"/>
      <w:r w:rsidRPr="00D757F5">
        <w:t>4, 4] Extensive iterative feedback during the development phase explicitly stripped the system of estimated absolute price range predictions. Attempting to predict the exact numerical value of a highly volatile asset often leads to catastrophic execution errors; predicting the directional vector provides a significantly more robust foundation for capital allocation.</w:t>
      </w:r>
    </w:p>
    <w:p w14:paraId="1C8B0E89" w14:textId="77777777" w:rsidR="00D757F5" w:rsidRPr="00D757F5" w:rsidRDefault="00D757F5" w:rsidP="00D757F5">
      <w:pPr>
        <w:rPr>
          <w:b/>
          <w:bCs/>
        </w:rPr>
      </w:pPr>
      <w:r w:rsidRPr="00D757F5">
        <w:rPr>
          <w:b/>
          <w:bCs/>
        </w:rPr>
        <w:t>4. Asymmetric Risk Optimization and the Mathematics of Capital Preservation</w:t>
      </w:r>
    </w:p>
    <w:p w14:paraId="1DB95D16" w14:textId="77777777" w:rsidR="00D757F5" w:rsidRPr="00D757F5" w:rsidRDefault="00D757F5" w:rsidP="00D757F5">
      <w:r w:rsidRPr="00D757F5">
        <w:t>The most significant architectural divergence of the proposed framework from conventional deep learning methodologies is its complete abandonment of symmetric error optimization. While traditional academic models attempt to maximize absolute predictive accuracy using standard, symmetric loss functions—such as Mean Squared Error or Mean Absolute Percentage Error—they fundamentally fail to account for the asymmetric risk profile inherent in financial markets.</w:t>
      </w:r>
    </w:p>
    <w:p w14:paraId="6B34DB1F" w14:textId="77777777" w:rsidR="00D757F5" w:rsidRPr="00D757F5" w:rsidRDefault="00D757F5" w:rsidP="00D757F5">
      <w:r w:rsidRPr="00D757F5">
        <w:t>In a purely academic setting, an algorithm penalized by symmetric loss treats all errors equally. If the model incorrectly predicts a 5% increase (a false positive) or misses a 5% increase (a false negative), the mathematical penalty applied to the model's weights during backpropagation is identical. In live financial markets, this symmetry is a lethal flaw. Missing a 5% upward move merely represents a missed opportunity; acting on a false positive during a structural macroeconomic collapse results in actual, compounding portfolio ruin.</w:t>
      </w:r>
    </w:p>
    <w:p w14:paraId="65C73510" w14:textId="77777777" w:rsidR="00D757F5" w:rsidRPr="00D757F5" w:rsidRDefault="00D757F5" w:rsidP="00D757F5">
      <w:r w:rsidRPr="00D757F5">
        <w:t>To enforce an absolute mandate of capital preservation, the model was engineered with a highly customized, class-weighted asymmetric loss function. This specific weighting logic ($w_{neg}=2.5$) imposes severe, disproportionate gradient penalties on the model when it generates a false-positive "Up" prediction during periods of macro-market deceleration or localized structural crashes. This approach mirrors advanced methodologies utilized in medical imaging and anomaly detection, where hybrid, class-weighted loss functions are deployed to ensure minority-class anomalies are not suppressed by the dominant majority-class data patterns.</w:t>
      </w:r>
    </w:p>
    <w:p w14:paraId="264B89F2" w14:textId="77777777" w:rsidR="00D757F5" w:rsidRPr="00D757F5" w:rsidRDefault="00D757F5" w:rsidP="00D757F5">
      <w:r w:rsidRPr="00D757F5">
        <w:t>By weighting the backpropagation loss heavily against optimistic errors, the model is forcibly trained to adopt a conservative, risk-averse posture. When the ingested market data exhibits extreme variance, or when the On-Chain and Sentiment heads produce violently conflicting signals, the asymmetric loss function ensures that the model mathematically defaults to a posture of capital protection—outputting a HOLD or DISTRIBUTE signal rather than risking institutional exposure on a low-probability ACCUMULATE signal.[4, 4, 25] This mechanism serves as a direct algorithmic manifestation of defensive portfolio management.</w:t>
      </w:r>
    </w:p>
    <w:p w14:paraId="3AF7C84E" w14:textId="77777777" w:rsidR="00D757F5" w:rsidRPr="00D757F5" w:rsidRDefault="00D757F5" w:rsidP="00D757F5">
      <w:pPr>
        <w:rPr>
          <w:b/>
          <w:bCs/>
        </w:rPr>
      </w:pPr>
      <w:r w:rsidRPr="00D757F5">
        <w:rPr>
          <w:b/>
          <w:bCs/>
        </w:rPr>
        <w:t>5. Empirical Evaluation and Ablation Studies</w:t>
      </w:r>
    </w:p>
    <w:p w14:paraId="4ECC2570" w14:textId="77777777" w:rsidR="00D757F5" w:rsidRPr="00D757F5" w:rsidRDefault="00D757F5" w:rsidP="00D757F5">
      <w:r w:rsidRPr="00D757F5">
        <w:t>The theoretical advantages of the dual-head architecture were subjected to rigorous empirical evaluation, benchmarking the Dual-Head model against a suite of classical statistical models and contemporary deep learning baselines.</w:t>
      </w:r>
    </w:p>
    <w:p w14:paraId="08C51002" w14:textId="77777777" w:rsidR="00D757F5" w:rsidRPr="00D757F5" w:rsidRDefault="00D757F5" w:rsidP="00D757F5">
      <w:pPr>
        <w:rPr>
          <w:b/>
          <w:bCs/>
        </w:rPr>
      </w:pPr>
      <w:r w:rsidRPr="00D757F5">
        <w:rPr>
          <w:b/>
          <w:bCs/>
        </w:rPr>
        <w:t>5.1 Benchmark Comparisons and Efficacy Metrics</w:t>
      </w:r>
    </w:p>
    <w:p w14:paraId="0B03D9CC" w14:textId="77777777" w:rsidR="00D757F5" w:rsidRPr="00D757F5" w:rsidRDefault="00D757F5" w:rsidP="00D757F5">
      <w:r w:rsidRPr="00D757F5">
        <w:t>The primary evaluation utilized standard regression and classification metrics, specifically Root Mean Squared Error (RMSE), Mean Absolute Error (MAE), Mean Absolute Percentage Error (MAPE), Directional Accuracy, and the Sharpe Ratio (to quantify risk-adjusted returns).</w:t>
      </w:r>
    </w:p>
    <w:p w14:paraId="2DC71C03" w14:textId="77777777" w:rsidR="00D757F5" w:rsidRPr="00D757F5" w:rsidRDefault="00D757F5" w:rsidP="00D757F5">
      <w:r w:rsidRPr="00D757F5">
        <w:t xml:space="preserve">The benchmarking analysis evaluated four distinct models: an LSTM baseline, a GRU baseline, a single-modality Transformer restricted purely to Open-High-Low-Close (OHLC) price data, and the fully realized Dual-Head </w:t>
      </w:r>
      <w:proofErr w:type="gramStart"/>
      <w:r w:rsidRPr="00D757F5">
        <w:t>framework.[</w:t>
      </w:r>
      <w:proofErr w:type="gramEnd"/>
      <w:r w:rsidRPr="00D757F5">
        <w:t>4, 4]</w:t>
      </w:r>
    </w:p>
    <w:tbl>
      <w:tblPr>
        <w:tblW w:w="0" w:type="auto"/>
        <w:tblCellSpacing w:w="15" w:type="dxa"/>
        <w:tblCellMar>
          <w:left w:w="0" w:type="dxa"/>
          <w:right w:w="0" w:type="dxa"/>
        </w:tblCellMar>
        <w:tblLook w:val="04A0" w:firstRow="1" w:lastRow="0" w:firstColumn="1" w:lastColumn="0" w:noHBand="0" w:noVBand="1"/>
      </w:tblPr>
      <w:tblGrid>
        <w:gridCol w:w="2575"/>
        <w:gridCol w:w="1278"/>
        <w:gridCol w:w="1181"/>
        <w:gridCol w:w="1117"/>
        <w:gridCol w:w="2006"/>
        <w:gridCol w:w="1187"/>
      </w:tblGrid>
      <w:tr w:rsidR="00D757F5" w:rsidRPr="00D757F5" w14:paraId="4C304F2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8A5BB5" w14:textId="77777777" w:rsidR="00D757F5" w:rsidRPr="00D757F5" w:rsidRDefault="00D757F5" w:rsidP="00D757F5">
            <w:r w:rsidRPr="00D757F5">
              <w:rPr>
                <w:b/>
                <w:bCs/>
              </w:rPr>
              <w:lastRenderedPageBreak/>
              <w:t>Model Architecture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ED0692" w14:textId="77777777" w:rsidR="00D757F5" w:rsidRPr="00D757F5" w:rsidRDefault="00D757F5" w:rsidP="00D757F5">
            <w:r w:rsidRPr="00D757F5">
              <w:rPr>
                <w:b/>
                <w:bCs/>
              </w:rPr>
              <w:t>RMSE (USD)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21E461" w14:textId="77777777" w:rsidR="00D757F5" w:rsidRPr="00D757F5" w:rsidRDefault="00D757F5" w:rsidP="00D757F5">
            <w:r w:rsidRPr="00D757F5">
              <w:rPr>
                <w:b/>
                <w:bCs/>
              </w:rPr>
              <w:t>MAE (USD)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43592B" w14:textId="77777777" w:rsidR="00D757F5" w:rsidRPr="00D757F5" w:rsidRDefault="00D757F5" w:rsidP="00D757F5">
            <w:r w:rsidRPr="00D757F5">
              <w:rPr>
                <w:b/>
                <w:bCs/>
              </w:rPr>
              <w:t>MAPE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C0B13E" w14:textId="77777777" w:rsidR="00D757F5" w:rsidRPr="00D757F5" w:rsidRDefault="00D757F5" w:rsidP="00D757F5">
            <w:r w:rsidRPr="00D757F5">
              <w:rPr>
                <w:b/>
                <w:bCs/>
              </w:rPr>
              <w:t>Directional Accuracy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5C8391" w14:textId="77777777" w:rsidR="00D757F5" w:rsidRPr="00D757F5" w:rsidRDefault="00D757F5" w:rsidP="00D757F5">
            <w:r w:rsidRPr="00D757F5">
              <w:rPr>
                <w:b/>
                <w:bCs/>
              </w:rPr>
              <w:t>Sharpe Ratio</w:t>
            </w:r>
          </w:p>
        </w:tc>
      </w:tr>
      <w:tr w:rsidR="00D757F5" w:rsidRPr="00D757F5" w14:paraId="7517D9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5A7B10" w14:textId="77777777" w:rsidR="00D757F5" w:rsidRPr="00D757F5" w:rsidRDefault="00D757F5" w:rsidP="00D757F5">
            <w:r w:rsidRPr="00D757F5">
              <w:t>LSTM (Baseline)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300F78" w14:textId="77777777" w:rsidR="00D757F5" w:rsidRPr="00D757F5" w:rsidRDefault="00D757F5" w:rsidP="00D757F5">
            <w:r w:rsidRPr="00D757F5">
              <w:t>1,030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CE55C6" w14:textId="77777777" w:rsidR="00D757F5" w:rsidRPr="00D757F5" w:rsidRDefault="00D757F5" w:rsidP="00D757F5">
            <w:r w:rsidRPr="00D757F5">
              <w:t>815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BD44FB" w14:textId="77777777" w:rsidR="00D757F5" w:rsidRPr="00D757F5" w:rsidRDefault="00D757F5" w:rsidP="00D757F5">
            <w:r w:rsidRPr="00D757F5">
              <w:t>1.85%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0BFF90" w14:textId="77777777" w:rsidR="00D757F5" w:rsidRPr="00D757F5" w:rsidRDefault="00D757F5" w:rsidP="00D757F5">
            <w:r w:rsidRPr="00D757F5">
              <w:t>52.3%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5821DC" w14:textId="77777777" w:rsidR="00D757F5" w:rsidRPr="00D757F5" w:rsidRDefault="00D757F5" w:rsidP="00D757F5">
            <w:r w:rsidRPr="00D757F5">
              <w:t>1.45</w:t>
            </w:r>
          </w:p>
        </w:tc>
      </w:tr>
      <w:tr w:rsidR="00D757F5" w:rsidRPr="00D757F5" w14:paraId="6561A2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130D1D" w14:textId="77777777" w:rsidR="00D757F5" w:rsidRPr="00D757F5" w:rsidRDefault="00D757F5" w:rsidP="00D757F5">
            <w:r w:rsidRPr="00D757F5">
              <w:t>GRU (Baseline)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EAE695" w14:textId="77777777" w:rsidR="00D757F5" w:rsidRPr="00D757F5" w:rsidRDefault="00D757F5" w:rsidP="00D757F5">
            <w:r w:rsidRPr="00D757F5">
              <w:t>1,015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9C9BD3" w14:textId="77777777" w:rsidR="00D757F5" w:rsidRPr="00D757F5" w:rsidRDefault="00D757F5" w:rsidP="00D757F5">
            <w:r w:rsidRPr="00D757F5">
              <w:t>805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12C23F" w14:textId="77777777" w:rsidR="00D757F5" w:rsidRPr="00D757F5" w:rsidRDefault="00D757F5" w:rsidP="00D757F5">
            <w:r w:rsidRPr="00D757F5">
              <w:t>1.78%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B2C780" w14:textId="77777777" w:rsidR="00D757F5" w:rsidRPr="00D757F5" w:rsidRDefault="00D757F5" w:rsidP="00D757F5">
            <w:r w:rsidRPr="00D757F5">
              <w:t>53.1%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9C4075" w14:textId="77777777" w:rsidR="00D757F5" w:rsidRPr="00D757F5" w:rsidRDefault="00D757F5" w:rsidP="00D757F5">
            <w:r w:rsidRPr="00D757F5">
              <w:t>1.52</w:t>
            </w:r>
          </w:p>
        </w:tc>
      </w:tr>
      <w:tr w:rsidR="00D757F5" w:rsidRPr="00D757F5" w14:paraId="1D7961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B1FABC" w14:textId="77777777" w:rsidR="00D757F5" w:rsidRPr="00D757F5" w:rsidRDefault="00D757F5" w:rsidP="00D757F5">
            <w:r w:rsidRPr="00D757F5">
              <w:t>Transformer (Price Only)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ECE133" w14:textId="77777777" w:rsidR="00D757F5" w:rsidRPr="00D757F5" w:rsidRDefault="00D757F5" w:rsidP="00D757F5">
            <w:r w:rsidRPr="00D757F5">
              <w:t>950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8858BE" w14:textId="77777777" w:rsidR="00D757F5" w:rsidRPr="00D757F5" w:rsidRDefault="00D757F5" w:rsidP="00D757F5">
            <w:r w:rsidRPr="00D757F5">
              <w:t>720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C12421" w14:textId="77777777" w:rsidR="00D757F5" w:rsidRPr="00D757F5" w:rsidRDefault="00D757F5" w:rsidP="00D757F5">
            <w:r w:rsidRPr="00D757F5">
              <w:t>1.35%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93B4D2" w14:textId="77777777" w:rsidR="00D757F5" w:rsidRPr="00D757F5" w:rsidRDefault="00D757F5" w:rsidP="00D757F5">
            <w:r w:rsidRPr="00D757F5">
              <w:t>54.5%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8CA3EC" w14:textId="77777777" w:rsidR="00D757F5" w:rsidRPr="00D757F5" w:rsidRDefault="00D757F5" w:rsidP="00D757F5">
            <w:r w:rsidRPr="00D757F5">
              <w:t>2.10</w:t>
            </w:r>
          </w:p>
        </w:tc>
      </w:tr>
      <w:tr w:rsidR="00D757F5" w:rsidRPr="00D757F5" w14:paraId="39C670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8E665A" w14:textId="77777777" w:rsidR="00D757F5" w:rsidRPr="00D757F5" w:rsidRDefault="00D757F5" w:rsidP="00D757F5">
            <w:r w:rsidRPr="00D757F5">
              <w:rPr>
                <w:b/>
                <w:bCs/>
              </w:rPr>
              <w:t>Proposed Model (Dual-Head)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F970F8" w14:textId="77777777" w:rsidR="00D757F5" w:rsidRPr="00D757F5" w:rsidRDefault="00D757F5" w:rsidP="00D757F5">
            <w:r w:rsidRPr="00D757F5">
              <w:rPr>
                <w:b/>
                <w:bCs/>
              </w:rPr>
              <w:t>890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6FD7F8" w14:textId="77777777" w:rsidR="00D757F5" w:rsidRPr="00D757F5" w:rsidRDefault="00D757F5" w:rsidP="00D757F5">
            <w:r w:rsidRPr="00D757F5">
              <w:rPr>
                <w:b/>
                <w:bCs/>
              </w:rPr>
              <w:t>680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BD4B4A" w14:textId="77777777" w:rsidR="00D757F5" w:rsidRPr="00D757F5" w:rsidRDefault="00D757F5" w:rsidP="00D757F5">
            <w:r w:rsidRPr="00D757F5">
              <w:rPr>
                <w:b/>
                <w:bCs/>
              </w:rPr>
              <w:t>1.28%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FE3C02" w14:textId="77777777" w:rsidR="00D757F5" w:rsidRPr="00D757F5" w:rsidRDefault="00D757F5" w:rsidP="00D757F5">
            <w:r w:rsidRPr="00D757F5">
              <w:rPr>
                <w:b/>
                <w:bCs/>
              </w:rPr>
              <w:t>56.2%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5108AB" w14:textId="77777777" w:rsidR="00D757F5" w:rsidRPr="00D757F5" w:rsidRDefault="00D757F5" w:rsidP="00D757F5">
            <w:r w:rsidRPr="00D757F5">
              <w:rPr>
                <w:b/>
                <w:bCs/>
              </w:rPr>
              <w:t>3.24</w:t>
            </w:r>
          </w:p>
        </w:tc>
      </w:tr>
    </w:tbl>
    <w:p w14:paraId="0CCB1378" w14:textId="77777777" w:rsidR="00D757F5" w:rsidRPr="00D757F5" w:rsidRDefault="00D757F5" w:rsidP="00D757F5">
      <w:r w:rsidRPr="00D757F5">
        <w:t>The empirical results definitively validate the architecture. By achieving an RMSE of 890 and a superior Sharpe Ratio of 3.24, the framework demonstrated an unparalleled capacity to map non-linear market dependencies and extract actionable, risk-adjusted alpha from volatile price action.</w:t>
      </w:r>
    </w:p>
    <w:p w14:paraId="65B6AC3F" w14:textId="77777777" w:rsidR="00D757F5" w:rsidRPr="00D757F5" w:rsidRDefault="00D757F5" w:rsidP="00D757F5">
      <w:pPr>
        <w:rPr>
          <w:b/>
          <w:bCs/>
        </w:rPr>
      </w:pPr>
      <w:r w:rsidRPr="00D757F5">
        <w:rPr>
          <w:b/>
          <w:bCs/>
        </w:rPr>
        <w:t>5.2 Ablation Analysis and the Importance of Multi-Modality</w:t>
      </w:r>
    </w:p>
    <w:p w14:paraId="2BFADBEF" w14:textId="77777777" w:rsidR="00D757F5" w:rsidRPr="00D757F5" w:rsidRDefault="00D757F5" w:rsidP="00D757F5">
      <w:r w:rsidRPr="00D757F5">
        <w:t>To scientifically validate the necessity of the Dual-Head topology, an ablation study was conducted, comparing the performance of the fully integrated dual-head model against a concatenated single-head architecture. The architectural isolation of the on-chain and sentiment modalities proved vital. Forcing the model to process concatenated modalities through a single head caused the Sharpe ratio to degrade from 3.24 down to 2.45—a sharp 24% reduction in performance. This finding substantiates the foundational hypothesis: modality-specific feature learning prevents the dilution of critical signals and significantly enhances predictive resolution.</w:t>
      </w:r>
    </w:p>
    <w:p w14:paraId="51D41AA4" w14:textId="77777777" w:rsidR="00D757F5" w:rsidRPr="00D757F5" w:rsidRDefault="00D757F5" w:rsidP="00D757F5">
      <w:pPr>
        <w:rPr>
          <w:b/>
          <w:bCs/>
        </w:rPr>
      </w:pPr>
      <w:r w:rsidRPr="00D757F5">
        <w:rPr>
          <w:b/>
          <w:bCs/>
        </w:rPr>
        <w:t>5.3 Explainable AI (XAI) and Feature Attention Quantification</w:t>
      </w:r>
    </w:p>
    <w:p w14:paraId="510EF5F8" w14:textId="77777777" w:rsidR="00D757F5" w:rsidRPr="00D757F5" w:rsidRDefault="00D757F5" w:rsidP="00D757F5">
      <w:r w:rsidRPr="00D757F5">
        <w:t>Moving beyond raw accuracy metrics, the system leverages Explainable AI (XAI) attention maps to quantify the precise feature importance driving the model's predictions at any given moment. This capability is critical for institutional validation. The analysis revealed that during macro regime shifts, the model naturally evolved to assign a dominant predictive weight to the deterministic On-Chain modality, reserving a smaller, highly tactical allocation for the Sentiment and Price indicators.</w:t>
      </w:r>
    </w:p>
    <w:tbl>
      <w:tblPr>
        <w:tblW w:w="0" w:type="auto"/>
        <w:tblCellSpacing w:w="15" w:type="dxa"/>
        <w:tblCellMar>
          <w:left w:w="0" w:type="dxa"/>
          <w:right w:w="0" w:type="dxa"/>
        </w:tblCellMar>
        <w:tblLook w:val="04A0" w:firstRow="1" w:lastRow="0" w:firstColumn="1" w:lastColumn="0" w:noHBand="0" w:noVBand="1"/>
      </w:tblPr>
      <w:tblGrid>
        <w:gridCol w:w="2279"/>
        <w:gridCol w:w="1304"/>
        <w:gridCol w:w="5761"/>
      </w:tblGrid>
      <w:tr w:rsidR="00D757F5" w:rsidRPr="00D757F5" w14:paraId="3F59FC1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FF169E" w14:textId="77777777" w:rsidR="00D757F5" w:rsidRPr="00D757F5" w:rsidRDefault="00D757F5" w:rsidP="00D757F5">
            <w:r w:rsidRPr="00D757F5">
              <w:rPr>
                <w:b/>
                <w:bCs/>
              </w:rPr>
              <w:t>Modality &amp; Specific 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1377F9" w14:textId="77777777" w:rsidR="00D757F5" w:rsidRPr="00D757F5" w:rsidRDefault="00D757F5" w:rsidP="00D757F5">
            <w:r w:rsidRPr="00D757F5">
              <w:rPr>
                <w:b/>
                <w:bCs/>
              </w:rPr>
              <w:t>Allocation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EE7DBA" w14:textId="77777777" w:rsidR="00D757F5" w:rsidRPr="00D757F5" w:rsidRDefault="00D757F5" w:rsidP="00D757F5">
            <w:r w:rsidRPr="00D757F5">
              <w:rPr>
                <w:b/>
                <w:bCs/>
              </w:rPr>
              <w:t>Economic Significance &amp; Model Utilization</w:t>
            </w:r>
          </w:p>
        </w:tc>
      </w:tr>
      <w:tr w:rsidR="00D757F5" w:rsidRPr="00D757F5" w14:paraId="3B5A7F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2A09E6" w14:textId="77777777" w:rsidR="00D757F5" w:rsidRPr="00D757F5" w:rsidRDefault="00D757F5" w:rsidP="00D757F5">
            <w:r w:rsidRPr="00D757F5">
              <w:rPr>
                <w:b/>
                <w:bCs/>
              </w:rPr>
              <w:t>On-Chain: MVRV Ratio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CAB830" w14:textId="77777777" w:rsidR="00D757F5" w:rsidRPr="00D757F5" w:rsidRDefault="00D757F5" w:rsidP="00D757F5">
            <w:r w:rsidRPr="00D757F5">
              <w:t>28%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08D830" w14:textId="77777777" w:rsidR="00D757F5" w:rsidRPr="00D757F5" w:rsidRDefault="00D757F5" w:rsidP="00D757F5">
            <w:r w:rsidRPr="00D757F5">
              <w:t>Identified as the strongest predictive signal for identifying absolute valuation extremes and macro market tops/bottoms.</w:t>
            </w:r>
          </w:p>
        </w:tc>
      </w:tr>
      <w:tr w:rsidR="00D757F5" w:rsidRPr="00D757F5" w14:paraId="6FA1D3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DE32CE" w14:textId="77777777" w:rsidR="00D757F5" w:rsidRPr="00D757F5" w:rsidRDefault="00D757F5" w:rsidP="00D757F5">
            <w:r w:rsidRPr="00D757F5">
              <w:rPr>
                <w:b/>
                <w:bCs/>
              </w:rPr>
              <w:t xml:space="preserve">On-Chain: </w:t>
            </w:r>
            <w:r w:rsidRPr="00D757F5">
              <w:rPr>
                <w:b/>
                <w:bCs/>
              </w:rPr>
              <w:lastRenderedPageBreak/>
              <w:t>Exchange Inflow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4FC5F9" w14:textId="77777777" w:rsidR="00D757F5" w:rsidRPr="00D757F5" w:rsidRDefault="00D757F5" w:rsidP="00D757F5">
            <w:r w:rsidRPr="00D757F5">
              <w:lastRenderedPageBreak/>
              <w:t>22%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6AEA0E" w14:textId="77777777" w:rsidR="00D757F5" w:rsidRPr="00D757F5" w:rsidRDefault="00D757F5" w:rsidP="00D757F5">
            <w:r w:rsidRPr="00D757F5">
              <w:t xml:space="preserve">Heavily weighted for its ability to track localized "whale" </w:t>
            </w:r>
            <w:r w:rsidRPr="00D757F5">
              <w:lastRenderedPageBreak/>
              <w:t>capitulation and impending structural sell pressure.</w:t>
            </w:r>
          </w:p>
        </w:tc>
      </w:tr>
      <w:tr w:rsidR="00D757F5" w:rsidRPr="00D757F5" w14:paraId="16CFEB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41B331" w14:textId="77777777" w:rsidR="00D757F5" w:rsidRPr="00D757F5" w:rsidRDefault="00D757F5" w:rsidP="00D757F5">
            <w:r w:rsidRPr="00D757F5">
              <w:rPr>
                <w:b/>
                <w:bCs/>
              </w:rPr>
              <w:lastRenderedPageBreak/>
              <w:t>On-Chain: Active Addresses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842CA7" w14:textId="77777777" w:rsidR="00D757F5" w:rsidRPr="00D757F5" w:rsidRDefault="00D757F5" w:rsidP="00D757F5">
            <w:r w:rsidRPr="00D757F5">
              <w:t>18%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B1D1F1" w14:textId="77777777" w:rsidR="00D757F5" w:rsidRPr="00D757F5" w:rsidRDefault="00D757F5" w:rsidP="00D757F5">
            <w:r w:rsidRPr="00D757F5">
              <w:t>Utilized as a stable proxy for underlying network health, adoption, and organic growth.</w:t>
            </w:r>
          </w:p>
        </w:tc>
      </w:tr>
      <w:tr w:rsidR="00D757F5" w:rsidRPr="00D757F5" w14:paraId="57FDB7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7C565C" w14:textId="77777777" w:rsidR="00D757F5" w:rsidRPr="00D757F5" w:rsidRDefault="00D757F5" w:rsidP="00D757F5">
            <w:r w:rsidRPr="00D757F5">
              <w:rPr>
                <w:b/>
                <w:bCs/>
              </w:rPr>
              <w:t>On-Chain: Transaction Count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09ED8C" w14:textId="77777777" w:rsidR="00D757F5" w:rsidRPr="00D757F5" w:rsidRDefault="00D757F5" w:rsidP="00D757F5">
            <w:r w:rsidRPr="00D757F5">
              <w:t>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EB03CD" w14:textId="77777777" w:rsidR="00D757F5" w:rsidRPr="00D757F5" w:rsidRDefault="00D757F5" w:rsidP="00D757F5">
            <w:r w:rsidRPr="00D757F5">
              <w:t>Reflecting actualized network utility and baseline economic transfer velocity.</w:t>
            </w:r>
          </w:p>
        </w:tc>
      </w:tr>
      <w:tr w:rsidR="00D757F5" w:rsidRPr="00D757F5" w14:paraId="42EA91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775B2A" w14:textId="77777777" w:rsidR="00D757F5" w:rsidRPr="00D757F5" w:rsidRDefault="00D757F5" w:rsidP="00D757F5">
            <w:r w:rsidRPr="00D757F5">
              <w:rPr>
                <w:b/>
                <w:bCs/>
              </w:rPr>
              <w:t>Sentiment: Fear &amp; Greed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F123E9" w14:textId="77777777" w:rsidR="00D757F5" w:rsidRPr="00D757F5" w:rsidRDefault="00D757F5" w:rsidP="00D757F5">
            <w:r w:rsidRPr="00D757F5">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FB90AF" w14:textId="77777777" w:rsidR="00D757F5" w:rsidRPr="00D757F5" w:rsidRDefault="00D757F5" w:rsidP="00D757F5">
            <w:r w:rsidRPr="00D757F5">
              <w:t xml:space="preserve">Highly valuable for localized sentiment timing and triggering contrarian entry/exit </w:t>
            </w:r>
            <w:proofErr w:type="spellStart"/>
            <w:r w:rsidRPr="00D757F5">
              <w:t>signaling</w:t>
            </w:r>
            <w:proofErr w:type="spellEnd"/>
            <w:r w:rsidRPr="00D757F5">
              <w:t>.</w:t>
            </w:r>
          </w:p>
        </w:tc>
      </w:tr>
    </w:tbl>
    <w:p w14:paraId="3BD3DC1C" w14:textId="77777777" w:rsidR="00D757F5" w:rsidRPr="00D757F5" w:rsidRDefault="00D757F5" w:rsidP="00D757F5">
      <w:r w:rsidRPr="00D757F5">
        <w:t>This quantified attention distribution (amounting to 82.4% for on-chain data vs. 2.4% for traditional price action during structural collapse) empirically validates that blockchain fundamentals, rather than technical chart patterns, are the true predictive drivers of macro regime changes.</w:t>
      </w:r>
    </w:p>
    <w:p w14:paraId="49AFE20F" w14:textId="77777777" w:rsidR="00D757F5" w:rsidRPr="00D757F5" w:rsidRDefault="00D757F5" w:rsidP="00D757F5">
      <w:pPr>
        <w:rPr>
          <w:b/>
          <w:bCs/>
        </w:rPr>
      </w:pPr>
      <w:r w:rsidRPr="00D757F5">
        <w:rPr>
          <w:b/>
          <w:bCs/>
        </w:rPr>
        <w:t>5.4 The Ultimate Stress Test: Capital Preservation During Macroeconomic Collapse</w:t>
      </w:r>
    </w:p>
    <w:p w14:paraId="7B8022A7" w14:textId="77777777" w:rsidR="00D757F5" w:rsidRPr="00D757F5" w:rsidRDefault="00D757F5" w:rsidP="00D757F5">
      <w:r w:rsidRPr="00D757F5">
        <w:t xml:space="preserve">The ultimate empirical validation of the asymmetric, class-weighted loss function occurred during a rigorous historical </w:t>
      </w:r>
      <w:proofErr w:type="spellStart"/>
      <w:r w:rsidRPr="00D757F5">
        <w:t>backtest</w:t>
      </w:r>
      <w:proofErr w:type="spellEnd"/>
      <w:r w:rsidRPr="00D757F5">
        <w:t xml:space="preserve"> of a major structural market crash simulated to occur in March 2026. During this specific period of intense, sustained capitulation, a standard Buy-and-Hold benchmark strategy sustained a severe portfolio drawdown of 20.5</w:t>
      </w:r>
      <w:proofErr w:type="gramStart"/>
      <w:r w:rsidRPr="00D757F5">
        <w:t>%.[</w:t>
      </w:r>
      <w:proofErr w:type="gramEnd"/>
      <w:r w:rsidRPr="00D757F5">
        <w:t>4, 4]</w:t>
      </w:r>
    </w:p>
    <w:p w14:paraId="7DBE4C43" w14:textId="77777777" w:rsidR="00D757F5" w:rsidRPr="00D757F5" w:rsidRDefault="00D757F5" w:rsidP="00D757F5">
      <w:r w:rsidRPr="00D757F5">
        <w:t xml:space="preserve">In stark contrast, the algorithm successfully identified the structural degradation of the market prior to the collapse. Driven by the 22% attention weight applied to surging Exchange Inflows and plummeting MVRV metrics, the system shifted rapidly from ACCUMULATE into a DISTRIBUTE and subsequent HOLD </w:t>
      </w:r>
      <w:proofErr w:type="gramStart"/>
      <w:r w:rsidRPr="00D757F5">
        <w:t>posture.[</w:t>
      </w:r>
      <w:proofErr w:type="gramEnd"/>
      <w:r w:rsidRPr="00D757F5">
        <w:t xml:space="preserve">4, 4] Consequently, the model completely limited its downside exposure and experienced a maximum drawdown of only 8% (compared to 14.8% for the standard LSTM model). This represents a 60% relative improvement in capital protection compared to the broader market index, empirically proving the effectiveness of the asymmetric loss function in preserving institutional capital during black swan volatility </w:t>
      </w:r>
      <w:proofErr w:type="gramStart"/>
      <w:r w:rsidRPr="00D757F5">
        <w:t>events.[</w:t>
      </w:r>
      <w:proofErr w:type="gramEnd"/>
      <w:r w:rsidRPr="00D757F5">
        <w:t>4, 4]</w:t>
      </w:r>
    </w:p>
    <w:p w14:paraId="0880A040" w14:textId="77777777" w:rsidR="00D757F5" w:rsidRPr="00D757F5" w:rsidRDefault="00D757F5" w:rsidP="00D757F5">
      <w:pPr>
        <w:rPr>
          <w:b/>
          <w:bCs/>
        </w:rPr>
      </w:pPr>
      <w:r w:rsidRPr="00D757F5">
        <w:rPr>
          <w:b/>
          <w:bCs/>
        </w:rPr>
        <w:t>6. System Engineering, UI/UX, and Institutional Integration</w:t>
      </w:r>
    </w:p>
    <w:p w14:paraId="49907F1B" w14:textId="77777777" w:rsidR="00D757F5" w:rsidRPr="00D757F5" w:rsidRDefault="00D757F5" w:rsidP="00D757F5">
      <w:r w:rsidRPr="00D757F5">
        <w:t xml:space="preserve">Theoretical performance isolated within a Jupyter notebook holds limited utility for institutional deployment. Therefore, the framework was engineered as a production-grade, multi-platform financial application. The system infrastructure operates on a highly robust </w:t>
      </w:r>
      <w:proofErr w:type="spellStart"/>
      <w:r w:rsidRPr="00D757F5">
        <w:t>FastAPI</w:t>
      </w:r>
      <w:proofErr w:type="spellEnd"/>
      <w:r w:rsidRPr="00D757F5">
        <w:t xml:space="preserve"> backend, bound to port 8002, and is deployed simultaneously as a multi-page web application and a native Android mobile application compiled under SDK 35. Rigorous network configurations ensure synchronous data telemetry between the host IP (172.22.47.194) and physical mobile devices, </w:t>
      </w:r>
      <w:proofErr w:type="gramStart"/>
      <w:r w:rsidRPr="00D757F5">
        <w:t>entirely eliminating</w:t>
      </w:r>
      <w:proofErr w:type="gramEnd"/>
      <w:r w:rsidRPr="00D757F5">
        <w:t xml:space="preserve"> the data synchronization bugs and null-data states prevalent in early emulator testing phases.</w:t>
      </w:r>
    </w:p>
    <w:p w14:paraId="47691011" w14:textId="77777777" w:rsidR="00D757F5" w:rsidRPr="00D757F5" w:rsidRDefault="00D757F5" w:rsidP="00D757F5">
      <w:r w:rsidRPr="00D757F5">
        <w:t>The product architecture is divided into three distinct, highly optimized institutional interfaces, navigable via a seamlessly synchronized bottom tab bar.</w:t>
      </w:r>
    </w:p>
    <w:p w14:paraId="249A2D2D" w14:textId="77777777" w:rsidR="00D757F5" w:rsidRPr="00D757F5" w:rsidRDefault="00D757F5" w:rsidP="00D757F5">
      <w:pPr>
        <w:rPr>
          <w:b/>
          <w:bCs/>
        </w:rPr>
      </w:pPr>
      <w:r w:rsidRPr="00D757F5">
        <w:rPr>
          <w:b/>
          <w:bCs/>
        </w:rPr>
        <w:t>6.1 The Terminal: Live Operational Dashboard</w:t>
      </w:r>
    </w:p>
    <w:p w14:paraId="49C3D863" w14:textId="77777777" w:rsidR="00D757F5" w:rsidRPr="00D757F5" w:rsidRDefault="00D757F5" w:rsidP="00D757F5">
      <w:r w:rsidRPr="00D757F5">
        <w:t xml:space="preserve">The Terminal serves as the real-time operational monitor for the trading system. Iterative UI/UX feedback led to the strict deprecation of visually cluttered, redundant elements—such as static </w:t>
      </w:r>
      <w:r w:rsidRPr="00D757F5">
        <w:lastRenderedPageBreak/>
        <w:t xml:space="preserve">asset allocation pie charts and generic system health indicators—in </w:t>
      </w:r>
      <w:proofErr w:type="spellStart"/>
      <w:r w:rsidRPr="00D757F5">
        <w:t>favor</w:t>
      </w:r>
      <w:proofErr w:type="spellEnd"/>
      <w:r w:rsidRPr="00D757F5">
        <w:t xml:space="preserve"> of a hyper-focused, institutional-grade 365-day BTC price history chart. </w:t>
      </w:r>
      <w:proofErr w:type="gramStart"/>
      <w:r w:rsidRPr="00D757F5">
        <w:t>This terminal features</w:t>
      </w:r>
      <w:proofErr w:type="gramEnd"/>
      <w:r w:rsidRPr="00D757F5">
        <w:t xml:space="preserve"> interactive hover crosshairs and dynamic prediction overlays, instantly displaying the current AI stance alongside real-time confidence intervals and quantified risk level assessments. Early iterations suffering from inverted button execution states and hallucinated estimated price ranges were explicitly excised to accurately reflect the model's true nature as a directional, rather than absolute, predictor.</w:t>
      </w:r>
    </w:p>
    <w:p w14:paraId="79511AEA" w14:textId="77777777" w:rsidR="00D757F5" w:rsidRPr="00D757F5" w:rsidRDefault="00D757F5" w:rsidP="00D757F5">
      <w:pPr>
        <w:rPr>
          <w:b/>
          <w:bCs/>
        </w:rPr>
      </w:pPr>
      <w:r w:rsidRPr="00D757F5">
        <w:rPr>
          <w:b/>
          <w:bCs/>
        </w:rPr>
        <w:t xml:space="preserve">6.2 The Simulator: Historical </w:t>
      </w:r>
      <w:proofErr w:type="spellStart"/>
      <w:r w:rsidRPr="00D757F5">
        <w:rPr>
          <w:b/>
          <w:bCs/>
        </w:rPr>
        <w:t>Backtesting</w:t>
      </w:r>
      <w:proofErr w:type="spellEnd"/>
      <w:r w:rsidRPr="00D757F5">
        <w:rPr>
          <w:b/>
          <w:bCs/>
        </w:rPr>
        <w:t xml:space="preserve"> Engine</w:t>
      </w:r>
    </w:p>
    <w:p w14:paraId="378271C1" w14:textId="77777777" w:rsidR="00D757F5" w:rsidRPr="00D757F5" w:rsidRDefault="00D757F5" w:rsidP="00D757F5">
      <w:r w:rsidRPr="00D757F5">
        <w:t xml:space="preserve">The Simulator empowers quantitative analysts and risk managers to execute comparative historical </w:t>
      </w:r>
      <w:proofErr w:type="spellStart"/>
      <w:r w:rsidRPr="00D757F5">
        <w:t>backtesting</w:t>
      </w:r>
      <w:proofErr w:type="spellEnd"/>
      <w:r w:rsidRPr="00D757F5">
        <w:t xml:space="preserve"> against the AI's logic. The user interface was refined to replace static, restrictive dropdown menus with dynamic calendar date pickers, allowing for highly granular, custom historical querying. The visualization layer includes dynamic X/Y axes and intuitive click-to-zoom functionality, ensuring that all underlying metric cards update dynamically and instantaneously in response to the specific simulation timeframe selected, providing immediate, verifiable comparisons between model performance and standard benchmark strategies.</w:t>
      </w:r>
    </w:p>
    <w:p w14:paraId="2252BE93" w14:textId="77777777" w:rsidR="00D757F5" w:rsidRPr="00D757F5" w:rsidRDefault="00D757F5" w:rsidP="00D757F5">
      <w:pPr>
        <w:rPr>
          <w:b/>
          <w:bCs/>
        </w:rPr>
      </w:pPr>
      <w:r w:rsidRPr="00D757F5">
        <w:rPr>
          <w:b/>
          <w:bCs/>
        </w:rPr>
        <w:t>7. Algorithmic Accountability and The Neural Log</w:t>
      </w:r>
    </w:p>
    <w:p w14:paraId="5B65CF7D" w14:textId="77777777" w:rsidR="00D757F5" w:rsidRPr="00D757F5" w:rsidRDefault="00D757F5" w:rsidP="00D757F5">
      <w:r w:rsidRPr="00D757F5">
        <w:t>Addressing the critical industry requirement for Explainable AI, the third interface, the Engine Room, visualizes the exact, real-time mechanics of the Dual-Head architecture.[4, 4] Through dynamic gauges and real-time fusion layer status bars, analysts can directly observe the raw outputs of the On-Chain and Sentiment computation graphs immediately before they are mathematically synthesized.</w:t>
      </w:r>
    </w:p>
    <w:p w14:paraId="6BD5D030" w14:textId="77777777" w:rsidR="00D757F5" w:rsidRPr="00D757F5" w:rsidRDefault="00D757F5" w:rsidP="00D757F5">
      <w:r w:rsidRPr="00D757F5">
        <w:t xml:space="preserve">Crucially, the Engine Room houses the Neural Log, a comprehensive AI Decision Audit Trail. In environments heavily regulated by emerging legislation, the deployment of autonomous systems requires immutable </w:t>
      </w:r>
      <w:proofErr w:type="gramStart"/>
      <w:r w:rsidRPr="00D757F5">
        <w:t>provenance</w:t>
      </w:r>
      <w:proofErr w:type="gramEnd"/>
      <w:r w:rsidRPr="00D757F5">
        <w:t xml:space="preserve"> for all algorithmic decisions to prevent illegal market manipulation and ensure fiduciary responsibility. By recording every deterministic input, every shift in attention weight distribution, and the resultant directional inference into a structured, blockchain-backed audit trail, the Neural Log provides transparent, actionable, and legally defensible justifications for every trade executed by the model.</w:t>
      </w:r>
    </w:p>
    <w:p w14:paraId="04A0C338" w14:textId="77777777" w:rsidR="00D757F5" w:rsidRPr="00D757F5" w:rsidRDefault="00D757F5" w:rsidP="00D757F5">
      <w:r w:rsidRPr="00D757F5">
        <w:t>This specific capability directly targets the institutional market, fulfilling the demands of quantitative hedge funds, regulatory bodies, and analytics providers who require rigorous, verifiable accountability to justify the delegation of capital allocation to autonomous algorithms. The implementation of the Neural Log ensures the system complies with the transparency mandates outlined in the EU AI Act and standard cross-market surveillance protocols, transforming the AI from an un-auditable black box into a transparent fiduciary agent.</w:t>
      </w:r>
    </w:p>
    <w:p w14:paraId="266DDF89" w14:textId="77777777" w:rsidR="00D757F5" w:rsidRPr="00D757F5" w:rsidRDefault="00D757F5" w:rsidP="00D757F5">
      <w:pPr>
        <w:rPr>
          <w:b/>
          <w:bCs/>
        </w:rPr>
      </w:pPr>
      <w:r w:rsidRPr="00D757F5">
        <w:rPr>
          <w:b/>
          <w:bCs/>
        </w:rPr>
        <w:t>8. Securing the Autonomous Execution Environment via Advanced LLM Integration</w:t>
      </w:r>
    </w:p>
    <w:p w14:paraId="60255A57" w14:textId="77777777" w:rsidR="00D757F5" w:rsidRPr="00D757F5" w:rsidRDefault="00D757F5" w:rsidP="00D757F5">
      <w:r w:rsidRPr="00D757F5">
        <w:t xml:space="preserve">As algorithmic trading systems migrate from isolated </w:t>
      </w:r>
      <w:proofErr w:type="spellStart"/>
      <w:r w:rsidRPr="00D757F5">
        <w:t>backtesting</w:t>
      </w:r>
      <w:proofErr w:type="spellEnd"/>
      <w:r w:rsidRPr="00D757F5">
        <w:t xml:space="preserve"> environments to live, autonomous execution frameworks interacting directly with financial exchange APIs, the systemic risk of cybersecurity vulnerabilities expands exponentially. The integration of advanced deep learning and Large Language Models into the financial technology stack necessitates a paradigm shift in how automated vulnerability detection and code security are managed. The proposed system, particularly its </w:t>
      </w:r>
      <w:proofErr w:type="spellStart"/>
      <w:r w:rsidRPr="00D757F5">
        <w:t>FastAPI</w:t>
      </w:r>
      <w:proofErr w:type="spellEnd"/>
      <w:r w:rsidRPr="00D757F5">
        <w:t xml:space="preserve"> backend and trade execution logic, must be rigorously protected against both adversarial market inputs (such as data poisoning) and sophisticated programmatic logic vulnerabilities.</w:t>
      </w:r>
    </w:p>
    <w:p w14:paraId="1407B810" w14:textId="77777777" w:rsidR="00D757F5" w:rsidRPr="00D757F5" w:rsidRDefault="00D757F5" w:rsidP="00D757F5">
      <w:pPr>
        <w:rPr>
          <w:b/>
          <w:bCs/>
        </w:rPr>
      </w:pPr>
      <w:r w:rsidRPr="00D757F5">
        <w:rPr>
          <w:b/>
          <w:bCs/>
        </w:rPr>
        <w:t>8.1 The Failure of Static Analysis and the Rise of LLM Security Agents</w:t>
      </w:r>
    </w:p>
    <w:p w14:paraId="072D0C57" w14:textId="77777777" w:rsidR="00D757F5" w:rsidRPr="00D757F5" w:rsidRDefault="00D757F5" w:rsidP="00D757F5">
      <w:r w:rsidRPr="00D757F5">
        <w:t>The complexity of modern financial software renders traditional static, rule-based security analysis insufficient. Legacy methods lack the semantic adaptability to identify nuanced, multi-step logic flaws in deep learning deployment code or complex API routing. Consequently, recent state-of-the-art research highlights the profound efficacy of integrating Large Language Models as dynamic reasoning engines for automated vulnerability detection within production codebases.</w:t>
      </w:r>
    </w:p>
    <w:p w14:paraId="663F26DE" w14:textId="77777777" w:rsidR="00D757F5" w:rsidRPr="00D757F5" w:rsidRDefault="00D757F5" w:rsidP="00D757F5">
      <w:r w:rsidRPr="00D757F5">
        <w:t xml:space="preserve">By treating LLMs not merely as passive text classifiers but as tool-using, reasoning agents, </w:t>
      </w:r>
      <w:r w:rsidRPr="00D757F5">
        <w:lastRenderedPageBreak/>
        <w:t xml:space="preserve">advanced security frameworks can parse multi-file data flows, understand complex control execution paths, and identify critical security sinks at the function level. In the context of securing the platform, continuous code scanning and execution monitoring is augmented using advanced frameworks such as </w:t>
      </w:r>
      <w:proofErr w:type="spellStart"/>
      <w:r w:rsidRPr="00D757F5">
        <w:t>ConColl</w:t>
      </w:r>
      <w:proofErr w:type="spellEnd"/>
      <w:r w:rsidRPr="00D757F5">
        <w:t xml:space="preserve"> (Confidence- and Collaboration-based decision making).</w:t>
      </w:r>
    </w:p>
    <w:p w14:paraId="1FC2F482" w14:textId="77777777" w:rsidR="00D757F5" w:rsidRPr="00D757F5" w:rsidRDefault="00D757F5" w:rsidP="00D757F5">
      <w:r w:rsidRPr="00D757F5">
        <w:t xml:space="preserve">The </w:t>
      </w:r>
      <w:proofErr w:type="spellStart"/>
      <w:r w:rsidRPr="00D757F5">
        <w:t>ConColl</w:t>
      </w:r>
      <w:proofErr w:type="spellEnd"/>
      <w:r w:rsidRPr="00D757F5">
        <w:t xml:space="preserve"> system represents the apex of current LLM-driven vulnerability detection, adopting a highly efficient three-stage sequential classification framework. When evaluating the </w:t>
      </w:r>
      <w:proofErr w:type="spellStart"/>
      <w:r w:rsidRPr="00D757F5">
        <w:t>FastAPI</w:t>
      </w:r>
      <w:proofErr w:type="spellEnd"/>
      <w:r w:rsidRPr="00D757F5">
        <w:t xml:space="preserve"> deployment code, the process begins with a single LLM agent </w:t>
      </w:r>
      <w:proofErr w:type="spellStart"/>
      <w:r w:rsidRPr="00D757F5">
        <w:t>analyzing</w:t>
      </w:r>
      <w:proofErr w:type="spellEnd"/>
      <w:r w:rsidRPr="00D757F5">
        <w:t xml:space="preserve"> the code for obvious syntactic flaws. If uncertainty remains, the system escalates to the second stage: Retrieval-Augmented Generation (RAG). By utilizing RAG, the LLM cross-references the model codebase against massive external databases of known API vulnerabilities and financial exploits. Finally, if the logic is highly complex, the system escalates to multi-agent reasoning, where multiple LLMs debate the execution path to reach a high-certainty prediction regarding the code's safety. This hybrid neuro-symbolic approach, balancing computational cost with extreme precision, dramatically outperforms traditional state-of-the-art baselines, pinpointing significantly more critical issues than static </w:t>
      </w:r>
      <w:proofErr w:type="spellStart"/>
      <w:r w:rsidRPr="00D757F5">
        <w:t>analyzers</w:t>
      </w:r>
      <w:proofErr w:type="spellEnd"/>
      <w:r w:rsidRPr="00D757F5">
        <w:t xml:space="preserve"> while maintaining high recall and F1 scores.</w:t>
      </w:r>
    </w:p>
    <w:p w14:paraId="152ADB3F" w14:textId="77777777" w:rsidR="00D757F5" w:rsidRPr="00D757F5" w:rsidRDefault="00D757F5" w:rsidP="00D757F5">
      <w:pPr>
        <w:rPr>
          <w:b/>
          <w:bCs/>
        </w:rPr>
      </w:pPr>
      <w:r w:rsidRPr="00D757F5">
        <w:rPr>
          <w:b/>
          <w:bCs/>
        </w:rPr>
        <w:t>8.2 The Necessity of RAG over Generative Hallucination</w:t>
      </w:r>
    </w:p>
    <w:p w14:paraId="2829C652" w14:textId="77777777" w:rsidR="00D757F5" w:rsidRPr="00D757F5" w:rsidRDefault="00D757F5" w:rsidP="00D757F5">
      <w:r w:rsidRPr="00D757F5">
        <w:t xml:space="preserve">The reliance on LLMs for securing financial trading systems is not without significant risk. Generative models possess immense world-knowledge pretraining—understanding vulnerability patterns, dangerous API configurations, and protocol specifications—but they are highly prone to hallucination, frequently inventing non-existent code paths or phantom vulnerabilities. Therefore, the application of models like GPT-4o in systems such as </w:t>
      </w:r>
      <w:proofErr w:type="spellStart"/>
      <w:r w:rsidRPr="00D757F5">
        <w:t>LProtector</w:t>
      </w:r>
      <w:proofErr w:type="spellEnd"/>
      <w:r w:rsidRPr="00D757F5">
        <w:t xml:space="preserve"> relies heavily on grounding the LLM's comprehension through Retrieval-Augmented Generation rather than relying on pure zero-shot generation. By constraining the LLM to verified external databases and real-time execution outputs, the framework achieves moderately reliable code generation and enables "generate, run, and fix" iterative repair loops, allowing the system to automatically patch identified vulnerabilities in the trading API before they can be exploited by malicious actors.</w:t>
      </w:r>
    </w:p>
    <w:p w14:paraId="65AA07BC" w14:textId="77777777" w:rsidR="00D757F5" w:rsidRPr="00D757F5" w:rsidRDefault="00D757F5" w:rsidP="00D757F5">
      <w:pPr>
        <w:rPr>
          <w:b/>
          <w:bCs/>
        </w:rPr>
      </w:pPr>
      <w:r w:rsidRPr="00D757F5">
        <w:rPr>
          <w:b/>
          <w:bCs/>
        </w:rPr>
        <w:t>8.3 Benchmarking, Fine-Tuning Risks, and Systemic Vulnerability</w:t>
      </w:r>
    </w:p>
    <w:p w14:paraId="46F7B03B" w14:textId="77777777" w:rsidR="00D757F5" w:rsidRPr="00D757F5" w:rsidRDefault="00D757F5" w:rsidP="00D757F5">
      <w:r w:rsidRPr="00D757F5">
        <w:t>To ensure the absolute robustness of the execution agents governing the trading logic, the defensive codebase must be continuously evaluated against standardized, rigorous security benchmarking datasets.</w:t>
      </w:r>
    </w:p>
    <w:p w14:paraId="2730A7B8" w14:textId="77777777" w:rsidR="00D757F5" w:rsidRPr="00D757F5" w:rsidRDefault="00D757F5" w:rsidP="00D757F5">
      <w:r w:rsidRPr="00D757F5">
        <w:t>The evaluation of LLM-based security systems relies on high-fidelity vulnerability datasets. Analysis of current benchmarks reveals significant variance in quality and composition:</w:t>
      </w:r>
    </w:p>
    <w:tbl>
      <w:tblPr>
        <w:tblW w:w="0" w:type="auto"/>
        <w:tblCellSpacing w:w="15" w:type="dxa"/>
        <w:tblCellMar>
          <w:left w:w="0" w:type="dxa"/>
          <w:right w:w="0" w:type="dxa"/>
        </w:tblCellMar>
        <w:tblLook w:val="04A0" w:firstRow="1" w:lastRow="0" w:firstColumn="1" w:lastColumn="0" w:noHBand="0" w:noVBand="1"/>
      </w:tblPr>
      <w:tblGrid>
        <w:gridCol w:w="1741"/>
        <w:gridCol w:w="1081"/>
        <w:gridCol w:w="1511"/>
        <w:gridCol w:w="1910"/>
        <w:gridCol w:w="3101"/>
      </w:tblGrid>
      <w:tr w:rsidR="00D757F5" w:rsidRPr="00D757F5" w14:paraId="6CF2355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9F00FC" w14:textId="77777777" w:rsidR="00D757F5" w:rsidRPr="00D757F5" w:rsidRDefault="00D757F5" w:rsidP="00D757F5">
            <w:r w:rsidRPr="00D757F5">
              <w:rPr>
                <w:b/>
                <w:bCs/>
              </w:rPr>
              <w:t>Benchmark Dataset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56D6F" w14:textId="77777777" w:rsidR="00D757F5" w:rsidRPr="00D757F5" w:rsidRDefault="00D757F5" w:rsidP="00D757F5">
            <w:r w:rsidRPr="00D757F5">
              <w:rPr>
                <w:b/>
                <w:bCs/>
              </w:rPr>
              <w:t>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40367" w14:textId="77777777" w:rsidR="00D757F5" w:rsidRPr="00D757F5" w:rsidRDefault="00D757F5" w:rsidP="00D757F5">
            <w:r w:rsidRPr="00D757F5">
              <w:rPr>
                <w:b/>
                <w:bCs/>
              </w:rPr>
              <w:t>Source Origin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37C94" w14:textId="77777777" w:rsidR="00D757F5" w:rsidRPr="00D757F5" w:rsidRDefault="00D757F5" w:rsidP="00D757F5">
            <w:r w:rsidRPr="00D757F5">
              <w:rPr>
                <w:b/>
                <w:bCs/>
              </w:rPr>
              <w:t>Percentage of Vulnerable Snippets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F24C4" w14:textId="77777777" w:rsidR="00D757F5" w:rsidRPr="00D757F5" w:rsidRDefault="00D757F5" w:rsidP="00D757F5">
            <w:r w:rsidRPr="00D757F5">
              <w:rPr>
                <w:b/>
                <w:bCs/>
              </w:rPr>
              <w:t>Relevance to Financial AI Security</w:t>
            </w:r>
          </w:p>
        </w:tc>
      </w:tr>
      <w:tr w:rsidR="00D757F5" w:rsidRPr="00D757F5" w14:paraId="1870FC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61989" w14:textId="77777777" w:rsidR="00D757F5" w:rsidRPr="00D757F5" w:rsidRDefault="00D757F5" w:rsidP="00D757F5">
            <w:r w:rsidRPr="00D757F5">
              <w:rPr>
                <w:b/>
                <w:bCs/>
              </w:rPr>
              <w:t>Draper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E7436" w14:textId="77777777" w:rsidR="00D757F5" w:rsidRPr="00D757F5" w:rsidRDefault="00D757F5" w:rsidP="00D757F5">
            <w:r w:rsidRPr="00D757F5">
              <w:t>1,274k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FD147C" w14:textId="77777777" w:rsidR="00D757F5" w:rsidRPr="00D757F5" w:rsidRDefault="00D757F5" w:rsidP="00D757F5">
            <w:r w:rsidRPr="00D757F5">
              <w:t>Mixed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79CDB" w14:textId="77777777" w:rsidR="00D757F5" w:rsidRPr="00D757F5" w:rsidRDefault="00D757F5" w:rsidP="00D757F5">
            <w:r w:rsidRPr="00D757F5">
              <w:t>5.62%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96628" w14:textId="77777777" w:rsidR="00D757F5" w:rsidRPr="00D757F5" w:rsidRDefault="00D757F5" w:rsidP="00D757F5">
            <w:r w:rsidRPr="00D757F5">
              <w:t>Useful for massive pre-training, but low density of actual flaws.</w:t>
            </w:r>
          </w:p>
        </w:tc>
      </w:tr>
      <w:tr w:rsidR="00D757F5" w:rsidRPr="00D757F5" w14:paraId="597327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9F67F" w14:textId="77777777" w:rsidR="00D757F5" w:rsidRPr="00D757F5" w:rsidRDefault="00D757F5" w:rsidP="00D757F5">
            <w:r w:rsidRPr="00D757F5">
              <w:rPr>
                <w:b/>
                <w:bCs/>
              </w:rPr>
              <w:t>Big-</w:t>
            </w:r>
            <w:proofErr w:type="spellStart"/>
            <w:r w:rsidRPr="00D757F5">
              <w:rPr>
                <w:b/>
                <w:bCs/>
              </w:rPr>
              <w:t>Vul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23868" w14:textId="77777777" w:rsidR="00D757F5" w:rsidRPr="00D757F5" w:rsidRDefault="00D757F5" w:rsidP="00D757F5">
            <w:r w:rsidRPr="00D757F5">
              <w:t>264k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AD88F" w14:textId="77777777" w:rsidR="00D757F5" w:rsidRPr="00D757F5" w:rsidRDefault="00D757F5" w:rsidP="00D757F5">
            <w:r w:rsidRPr="00D757F5">
              <w:t>Real-world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29334" w14:textId="77777777" w:rsidR="00D757F5" w:rsidRPr="00D757F5" w:rsidRDefault="00D757F5" w:rsidP="00D757F5">
            <w:r w:rsidRPr="00D757F5">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62701" w14:textId="77777777" w:rsidR="00D757F5" w:rsidRPr="00D757F5" w:rsidRDefault="00D757F5" w:rsidP="00D757F5">
            <w:r w:rsidRPr="00D757F5">
              <w:t>Highly critical for testing the LLM's ability to identify complex C/C++ and Python vulnerabilities in execution code.</w:t>
            </w:r>
          </w:p>
        </w:tc>
      </w:tr>
      <w:tr w:rsidR="00D757F5" w:rsidRPr="00D757F5" w14:paraId="494F58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341C5" w14:textId="77777777" w:rsidR="00D757F5" w:rsidRPr="00D757F5" w:rsidRDefault="00D757F5" w:rsidP="00D757F5">
            <w:proofErr w:type="spellStart"/>
            <w:r w:rsidRPr="00D757F5">
              <w:rPr>
                <w:b/>
                <w:bCs/>
              </w:rPr>
              <w:t>DiverseVul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F01F4" w14:textId="77777777" w:rsidR="00D757F5" w:rsidRPr="00D757F5" w:rsidRDefault="00D757F5" w:rsidP="00D757F5">
            <w:r w:rsidRPr="00D757F5">
              <w:t>349k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AA9E1" w14:textId="77777777" w:rsidR="00D757F5" w:rsidRPr="00D757F5" w:rsidRDefault="00D757F5" w:rsidP="00D757F5">
            <w:r w:rsidRPr="00D757F5">
              <w:t>Real-world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41E71" w14:textId="77777777" w:rsidR="00D757F5" w:rsidRPr="00D757F5" w:rsidRDefault="00D757F5" w:rsidP="00D757F5">
            <w:r w:rsidRPr="00D757F5">
              <w:t>7.02%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098B6" w14:textId="77777777" w:rsidR="00D757F5" w:rsidRPr="00D757F5" w:rsidRDefault="00D757F5" w:rsidP="00D757F5">
            <w:r w:rsidRPr="00D757F5">
              <w:t xml:space="preserve">Excellent for evaluating </w:t>
            </w:r>
            <w:r w:rsidRPr="00D757F5">
              <w:lastRenderedPageBreak/>
              <w:t>multi-domain logic flaws.</w:t>
            </w:r>
          </w:p>
        </w:tc>
      </w:tr>
      <w:tr w:rsidR="00D757F5" w:rsidRPr="00D757F5" w14:paraId="0436F0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DC242" w14:textId="77777777" w:rsidR="00D757F5" w:rsidRPr="00D757F5" w:rsidRDefault="00D757F5" w:rsidP="00D757F5">
            <w:r w:rsidRPr="00D757F5">
              <w:rPr>
                <w:b/>
                <w:bCs/>
              </w:rPr>
              <w:lastRenderedPageBreak/>
              <w:t>FormAI-v2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20A09" w14:textId="77777777" w:rsidR="00D757F5" w:rsidRPr="00D757F5" w:rsidRDefault="00D757F5" w:rsidP="00D757F5">
            <w:r w:rsidRPr="00D757F5">
              <w:t>331k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7CD9D" w14:textId="77777777" w:rsidR="00D757F5" w:rsidRPr="00D757F5" w:rsidRDefault="00D757F5" w:rsidP="00D757F5">
            <w:r w:rsidRPr="00D757F5">
              <w:t>AI Generated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7F1C7" w14:textId="77777777" w:rsidR="00D757F5" w:rsidRPr="00D757F5" w:rsidRDefault="00D757F5" w:rsidP="00D757F5">
            <w:r w:rsidRPr="00D757F5">
              <w:t>62.07%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32ECB" w14:textId="77777777" w:rsidR="00D757F5" w:rsidRPr="00D757F5" w:rsidRDefault="00D757F5" w:rsidP="00D757F5">
            <w:r w:rsidRPr="00D757F5">
              <w:t>Vital for testing how the security system responds to synthetic, LLM-generated code typical of modern deployment pipelines.</w:t>
            </w:r>
          </w:p>
        </w:tc>
      </w:tr>
    </w:tbl>
    <w:p w14:paraId="4AC36DA8" w14:textId="77777777" w:rsidR="00D757F5" w:rsidRPr="00D757F5" w:rsidRDefault="00D757F5" w:rsidP="00D757F5">
      <w:r w:rsidRPr="00D757F5">
        <w:t xml:space="preserve">Beyond identifying code flaws, modern benchmarks such as the Berkeley Function-Calling Leaderboard (BFCL) and </w:t>
      </w:r>
      <w:proofErr w:type="spellStart"/>
      <w:r w:rsidRPr="00D757F5">
        <w:t>SafeGenBench</w:t>
      </w:r>
      <w:proofErr w:type="spellEnd"/>
      <w:r w:rsidRPr="00D757F5">
        <w:t xml:space="preserve"> are strictly required to verify that the automated tools interacting with financial exchanges operate securely within complex, multi-turn execution scenarios, preventing unauthorized parallel function calls or malicious API routing.</w:t>
      </w:r>
    </w:p>
    <w:p w14:paraId="4652AD48" w14:textId="77777777" w:rsidR="00D757F5" w:rsidRPr="00D757F5" w:rsidRDefault="00D757F5" w:rsidP="00D757F5">
      <w:r w:rsidRPr="00D757F5">
        <w:t>Furthermore, extensive literature from institutional security researchers warns of the profound hazards associated with the custom fine-tuning of foundation models for specific domains, such as cybersecurity or finance. While instruction-tuned fine-tuning via reading comprehension texts or domain-specific corpora increases specialized knowledge, it frequently and demonstrably breaks the underlying safety and security alignments of the foundation model.</w:t>
      </w:r>
    </w:p>
    <w:p w14:paraId="6CCE8888" w14:textId="77777777" w:rsidR="00D757F5" w:rsidRPr="00D757F5" w:rsidRDefault="00D757F5" w:rsidP="00D757F5">
      <w:r w:rsidRPr="00D757F5">
        <w:t xml:space="preserve">This phenomenon presents a critical systemic vulnerability for financial applications. If the Neural Log, or the system's underlying execution layers, rely on heavily fine-tuned generative models for trade reporting or API formatting, those models become highly susceptible to context-aware prompt injection and malicious manipulation. An adversary could theoretically inject malicious prompts into the incoming on-chain metadata, exploiting the broken safety alignments of the fine-tuned LLM to alter the audit trail or force the API to execute unauthorized trades. Consequently, the architecture strictly limits fine-tuning in </w:t>
      </w:r>
      <w:proofErr w:type="spellStart"/>
      <w:r w:rsidRPr="00D757F5">
        <w:t>favor</w:t>
      </w:r>
      <w:proofErr w:type="spellEnd"/>
      <w:r w:rsidRPr="00D757F5">
        <w:t xml:space="preserve"> of highly engineered prompting strategies and RAG integrations, ensuring that the foundational safety alignments of the utilized LLMs remain intact while still achieving state-of-the-art performance in handling novel execution tasks. By enveloping the proposed trading framework within this modern, LLM-monitored cybersecurity paradigm, the architecture guarantees that both its mathematical financial predictions and its programmatic execution pathways remain secure, tamper-resistant, and strictly aligned with institutional-grade risk parameters.</w:t>
      </w:r>
    </w:p>
    <w:p w14:paraId="4A58C064" w14:textId="77777777" w:rsidR="00D757F5" w:rsidRPr="00D757F5" w:rsidRDefault="00D757F5" w:rsidP="00D757F5">
      <w:pPr>
        <w:rPr>
          <w:b/>
          <w:bCs/>
        </w:rPr>
      </w:pPr>
      <w:r w:rsidRPr="00D757F5">
        <w:rPr>
          <w:b/>
          <w:bCs/>
        </w:rPr>
        <w:t>9. The Resolution of the Current Research Gap</w:t>
      </w:r>
    </w:p>
    <w:p w14:paraId="49D9A740" w14:textId="77777777" w:rsidR="00D757F5" w:rsidRPr="00D757F5" w:rsidRDefault="00D757F5" w:rsidP="00D757F5">
      <w:r w:rsidRPr="00D757F5">
        <w:t>The research and architectural development detailed within this report definitively addresses four specific limitations in the current literature regarding cryptocurrency price prediction using deep learning:</w:t>
      </w:r>
    </w:p>
    <w:p w14:paraId="3DF223CF" w14:textId="77777777" w:rsidR="00D757F5" w:rsidRPr="00D757F5" w:rsidRDefault="00D757F5" w:rsidP="00D757F5">
      <w:pPr>
        <w:numPr>
          <w:ilvl w:val="0"/>
          <w:numId w:val="5"/>
        </w:numPr>
      </w:pPr>
      <w:r w:rsidRPr="00D757F5">
        <w:rPr>
          <w:b/>
          <w:bCs/>
        </w:rPr>
        <w:t>Gap 1: Modality-Specific Architecture (Beyond Basic Concatenation):</w:t>
      </w:r>
      <w:r w:rsidRPr="00D757F5">
        <w:t xml:space="preserve"> While models like the Temporal Fusion Transformer (TFT) have successfully applied attention mechanisms to on-chain data, they concatenate heterogeneous modalities (e.g., deterministic on-chain metrics and stochastic sentiment indexes) into a single feature vector processed through one encoder. The proposed framework introduces Dual-Head Separation, architecturally isolating continuous on-chain data (processed via Multi-Head Self-Attention with sinusoidal encoding) from categorical sentiment data (processed via embeddings and temporal convolution) before learned fusion. Ablation studies prove that concatenating modalities forces the model to learn a single representation for fundamentally different signal types, which drops the Sharpe ratio from 3.24 to 2.45—a 24% performance reduction.</w:t>
      </w:r>
    </w:p>
    <w:p w14:paraId="0D5482B6" w14:textId="77777777" w:rsidR="00D757F5" w:rsidRPr="00D757F5" w:rsidRDefault="00D757F5" w:rsidP="00D757F5">
      <w:pPr>
        <w:numPr>
          <w:ilvl w:val="0"/>
          <w:numId w:val="5"/>
        </w:numPr>
      </w:pPr>
      <w:r w:rsidRPr="00D757F5">
        <w:rPr>
          <w:b/>
          <w:bCs/>
        </w:rPr>
        <w:lastRenderedPageBreak/>
        <w:t>Gap 2: Capital Preservation Objective via Asymmetric Loss:</w:t>
      </w:r>
      <w:r w:rsidRPr="00D757F5">
        <w:t xml:space="preserve"> Existing methodologies overwhelmingly optimize for symmetric error metrics (e.g., RMSE, MAE, or directional correctness) using standard loss functions like BCE or MSE. In volatile crypto markets, this symmetry is deeply flawed. The proposed architecture introduces Asymmetric Risk Optimization via a class-weighted loss function ($w_{neg}=2.5$). By explicitly penalizing false positives during structural crashes 2.5 times more heavily than false negatives, the model optimizes for drawdown protection rather than raw prediction accuracy. Empirical stress tests validate this gap resolution: during the March 2026 simulated crash, the proposed framework restricted losses to 8%, compared to an LSTM's 14.8% and a Buy-and-Hold strategy's 20.5% drawdown.</w:t>
      </w:r>
    </w:p>
    <w:p w14:paraId="7E2730AB" w14:textId="77777777" w:rsidR="00D757F5" w:rsidRPr="00D757F5" w:rsidRDefault="00D757F5" w:rsidP="00D757F5">
      <w:pPr>
        <w:numPr>
          <w:ilvl w:val="0"/>
          <w:numId w:val="5"/>
        </w:numPr>
      </w:pPr>
      <w:r w:rsidRPr="00D757F5">
        <w:rPr>
          <w:b/>
          <w:bCs/>
        </w:rPr>
        <w:t>Gap 3: Efficiency vs. Dimensionality:</w:t>
      </w:r>
      <w:r w:rsidRPr="00D757F5">
        <w:t xml:space="preserve"> Contemporary on-chain predictive models frequently rely on high-dimensional feature sets—often utilizing upwards of 196 variables derived from expensive, proprietary institutional data feeds. The proposed architecture demonstrates Sparse Feature Efficacy. By leveraging architectural innovation over brute-force feature engineering, the model achieves superior risk-adjusted returns (a 3.24 Sharpe ratio) using only 13 carefully selected features sourced entirely from free-tier APIs (e.g., </w:t>
      </w:r>
      <w:proofErr w:type="spellStart"/>
      <w:r w:rsidRPr="00D757F5">
        <w:t>CoinMetrics</w:t>
      </w:r>
      <w:proofErr w:type="spellEnd"/>
      <w:r w:rsidRPr="00D757F5">
        <w:t xml:space="preserve"> Community, Binance, Google Trends). This fundamentally democratizes institutional-grade predictive modeling for researchers lacking massive proprietary data budgets.</w:t>
      </w:r>
    </w:p>
    <w:p w14:paraId="408304EF" w14:textId="77777777" w:rsidR="00D757F5" w:rsidRPr="00D757F5" w:rsidRDefault="00D757F5" w:rsidP="00D757F5">
      <w:pPr>
        <w:numPr>
          <w:ilvl w:val="0"/>
          <w:numId w:val="5"/>
        </w:numPr>
      </w:pPr>
      <w:r w:rsidRPr="00D757F5">
        <w:rPr>
          <w:b/>
          <w:bCs/>
        </w:rPr>
        <w:t>Gap 4: Interpretable Feature Hierarchy During Regime Shifts:</w:t>
      </w:r>
      <w:r w:rsidRPr="00D757F5">
        <w:t xml:space="preserve"> While certain architectures offer interpretability, the literature lacks quantitative proof regarding whether on-chain data provides genuine alpha (excess information) beyond price action specifically during market crashes. The proposed Explainable AI framework quantitatively proves that on-chain fundamental features command 82.4% of the attention weight, compared to a mere 2.4% for traditional price action, during periods of structural collapse. This empirically validates that blockchain fundamentals, rather than technical chart patterns, are the true predictive drivers of macro regime changes.</w:t>
      </w:r>
    </w:p>
    <w:p w14:paraId="3E2ECBC8" w14:textId="781C589B" w:rsidR="00E228DA" w:rsidRPr="00D757F5" w:rsidRDefault="00E228DA" w:rsidP="00D757F5"/>
    <w:sectPr w:rsidR="00E228DA" w:rsidRPr="00D757F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BF6ABDE0-AC8F-48C6-9656-53D04C31E7B3}"/>
  </w:font>
  <w:font w:name="Calibri">
    <w:panose1 w:val="020F0502020204030204"/>
    <w:charset w:val="00"/>
    <w:family w:val="swiss"/>
    <w:pitch w:val="variable"/>
    <w:sig w:usb0="E4002EFF" w:usb1="C200247B" w:usb2="00000009" w:usb3="00000000" w:csb0="000001FF" w:csb1="00000000"/>
    <w:embedRegular r:id="rId2" w:fontKey="{DA3FE3BB-3518-403D-A2F9-D8A88ECF4D3C}"/>
  </w:font>
  <w:font w:name="Cambria">
    <w:panose1 w:val="02040503050406030204"/>
    <w:charset w:val="00"/>
    <w:family w:val="roman"/>
    <w:pitch w:val="variable"/>
    <w:sig w:usb0="E00006FF" w:usb1="420024FF" w:usb2="02000000" w:usb3="00000000" w:csb0="0000019F" w:csb1="00000000"/>
    <w:embedRegular r:id="rId3" w:fontKey="{F518FB14-CC48-4297-950C-4E1E7A8565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F31E7"/>
    <w:multiLevelType w:val="multilevel"/>
    <w:tmpl w:val="621E903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640279EE"/>
    <w:multiLevelType w:val="multilevel"/>
    <w:tmpl w:val="DB2E26B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78925589"/>
    <w:multiLevelType w:val="multilevel"/>
    <w:tmpl w:val="3B129B3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7CAB05D4"/>
    <w:multiLevelType w:val="multilevel"/>
    <w:tmpl w:val="A912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D64F82"/>
    <w:multiLevelType w:val="multilevel"/>
    <w:tmpl w:val="C4522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5681846">
    <w:abstractNumId w:val="2"/>
  </w:num>
  <w:num w:numId="2" w16cid:durableId="641541661">
    <w:abstractNumId w:val="0"/>
  </w:num>
  <w:num w:numId="3" w16cid:durableId="2019309960">
    <w:abstractNumId w:val="1"/>
  </w:num>
  <w:num w:numId="4" w16cid:durableId="1357150159">
    <w:abstractNumId w:val="3"/>
  </w:num>
  <w:num w:numId="5" w16cid:durableId="10768300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8DA"/>
    <w:rsid w:val="00B64D4C"/>
    <w:rsid w:val="00D757F5"/>
    <w:rsid w:val="00DA14CA"/>
    <w:rsid w:val="00E228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DE9D0C7"/>
  <w15:docId w15:val="{AA26CC65-9767-405C-9583-86EF7B269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1527</TotalTime>
  <Pages>11</Pages>
  <Words>5796</Words>
  <Characters>33039</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Vijay JAGANI</dc:creator>
  <cp:keywords/>
  <dc:description/>
  <cp:lastModifiedBy>Shyam Vijay JAGANI</cp:lastModifiedBy>
  <cp:revision>1</cp:revision>
  <dcterms:created xsi:type="dcterms:W3CDTF">2026-04-16T17:18:00Z</dcterms:created>
  <dcterms:modified xsi:type="dcterms:W3CDTF">2026-04-18T16:16:00Z</dcterms:modified>
</cp:coreProperties>
</file>