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impact and Predictive Power of On-Chain Data on the Cryptocurrency Price using Transformers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Introduction to the Paradigm Shift in Quantitative Finance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integration of artificial intelligence within decentralized finance has fundamentally altered the landscape of quantitative trading, shifting the discipline from classical statistical inference to highly complex, multi-modal deep learning architectures. Cryptographic asset markets, primarily the Bitcoin ecosystem, are inherently characterized by extreme volatility, nonlinear pricing dependencies, and a profound sensitivity to rapid macroeconomic regime shifts.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For decades, quantitative analysts and institutional risk managers relied heavily on autoregressive structures, moving average frameworks, and exponential smoothing techniques—such as AR, MA, and EMA models—to forecast asset prices and allocate capital.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While these classical statistical models remain computationally efficient and retain utility in highly constrained, short-term scenarios, they possess fundamental structural limitations. Primarily, linear architectures and standard statistical models are mathematically incapable of capturing the long-term temporal dependencies, rapid sentiment inversions, and micro-structural ledger shifts that dictate modern digital asset ecosystems.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response to the deficiencies of linear modeling, the financial technology sector widely adopted deep learning architectures, most notably Long Short-Term Memory (LSTM) networks, Gated Recurrent Units (GRU), and various ResNet-based systems.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LSTMs demonstrated significant utility in modeling sequential financial data due to their ability to retain memory of past market states through internal gating mechanisms.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However, the application of recurrent architectures in highly volatile cryptographic markets introduced a new set of severe architectural limitations. Recurrent neural networks are structurally constrained by sequential processing, which limits parallelization and typically caps their effective long-range dependency retention at approximately sixty discrete time steps, preventing them from contextualizing broad macroeconomic cycles.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More critically, traditional deep learning models optimized for financial forecasting have historically suffered from a symmetric optimization bias. By optimizing for standard loss functions, such as Mean Squared Error (MSE) or Root Mean Squared Error (RMSE), these models treat false-positive signals—such as predicting a price increase that does not materialize—and false-negative signals—such as missing a profitable upward trend—as equally detrimental to the system's performance.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In algorithmic trading, this mathematical symmetry is catastrophic. A false positive during a macroeconomic market crash results in severe capital destruction, whereas a false negative merely results in an opportunity cost.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highlights the absolute necessity for asymmetric risk management and algorithmic capital preservation strategies in autonomous financial systems.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Concurrently, the institutional adoption of algorithmic trading models is heavily impeded by the opaque, "black box" nature of deep neural networks. Predictive performance alone, regardless of its accuracy, cannot justify the production deployment of autonomous capital allocation systems.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Modern regulatory frameworks and institutional risk mandates demand stringent explainability, absolute accountability, and the capacity to trace specific market inputs to automated outputs.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necessity for an immutable audit trail—a transparent, cryptographically secure log of AI decision-making—has transitioned from an academic concept to a fundamental regulatory requirement, particularly in light of emerging legislation such as the European Union's AI Act and the General Data Protection Regulation (GDPR).</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comprehensive report presents a definitive analysis of a state-of-the-art predictive framework powered by a proprietary Dual-Head Transformer architecture designated as Model3_OnChain.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proposed framework diverges from classical predictive models by optimizing explicitly for capital preservation via an asymmetric, class-weighted loss function, effectively shielding institutional capital during severe market downturns.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By fusing isolated, deterministic on-chain blockchain metrics with stochastic human sentiment data through a dedicated fusion layer, and wrapping the entire predictive engine in an Explainable AI (XAI) interface dubbed the Neural Log, the system bridges the critical divide between advanced predictive accuracy and institutional-grade accountability.[4, 8, 4] Furthermore, recognizing that autonomous financial systems executing trades via APIs are prime targets for adversarial exploitation, this report thoroughly analyzes the integration of advanced Large Language Model (LLM) vulnerability detection frameworks. These security protocols are required to secure the execution environment against programmatic logic flaws, prompt-based vulnerabilities, and the deterioration of safety alignments associated with model fine-tuning.</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Evolution of Predictive Architectures in Non-Stationary Markets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understand the architectural decisions underlying the proposed framework, it is imperative to analyze the evolutionary trajectory of predictive architectures in financial time-series forecasting. The transition from linear to non-linear modeling represents a continuous pursuit of capturing the complex, hidden variables that dictate market micro-structure.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Limitations of Autoregressive and Recurrent Models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Classical models such as the Autoregressive Integrated Moving Average (ARIMA) or Vector Autoregression (VAR) operate under the strict mathematical assumption of stationarity, requiring the statistical properties of a time series—such as mean and variance—to remain constant over time. Cryptographic markets, however, are inherently non-stationary, characterized by wild variance spikes, regulatory shocks, and structural breaks in correlation.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When classical models encounter these non-stationary environments, their predictive fidelity collapses, as they attempt to extrapolate future prices based on linear historical relationships that have fundamentally ceased to exist.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introduction of deep learning, particularly LSTMs and GRUs, offered a partial resolution. By utilizing non-linear activation functions and hidden state memory, these models could map complex relationships between disparate variables.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However, empirical competitions and extensive literature reviews demonstrate that while recurrent models excel on homogeneous datasets, they struggle profoundly with heterogeneous, multi-modal data streams typical of modern financial analysis.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In a recurrent network, data must be processed sequentially. If a model is analyzing 365 days of historical data, the influence of day one must pass through 364 mathematical transformations before reaching the current prediction step. This sequential bottleneck leads to the vanishing gradient problem, where the model essentially forgets vital macroeconomic signals from the distant past.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In the context of Bitcoin, where four-year halving cycles dictate macro-valuation, a model limited to a short-term memory window is fundamentally blind to the broader market context.</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The Temporal Fusion Transformer and Attention Mechanisms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systemic limitations of recurrent architectures were circumvented by the introduction of Transformer models, which abandoned sequential processing entirely in favor of self-attention mechanisms. Self-attention allows a neural network to process an entire sequence of data simultaneously, computing an attention matrix that defines the mathematical relationship between every single time step and every other time step, regardless of their chronological distance.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global receptive field enables Transformers to capture long-range dependencies seamlessly, identifying correlations between a specific on-chain metric behavior occurring today and a similar pattern that occurred years prior.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Within the domain of cryptocurrency forecasting, the Temporal Fusion Transformer (TFT) has emerged as a particularly robust architecture. The TFT combines multi-head self-attention with specialized time-series components, including gating layers that suppress unnecessary features, variable selection networks that weigh the importance of dynamic inputs, and specialized time-handling layers.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TFT architectures have demonstrated superior performance over LSTMs by integrating both static metadata and dynamic, time-varying features into a unified structure, capturing complex behavioral patterns across multiple major cryptocurrencies such as BTC, ETH, and XRP.</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However, direct implementation of standard TFTs in highly volatile environments often yields suboptimal results due to the phenomenon of feature dilution.</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When highly disparate data modalities—such as the deterministic, mathematical truth of blockchain ledger data and the highly stochastic, noisy nature of human sentiment derived from social media or search trends—are fed into a single, unified attention mechanism, the network struggles to isolate the distinct signals. The noisy sentiment data can inadvertently drown out the subtle, high-fidelity signals originating from the on-chain ledger. The proposed architecture resolves this critical flaw through its Dual-Head topological design.</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The Dual-Head Topology and Data Ingestion Pipeline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foundation of the predictive engine relies on high-fidelity, multi-source data aggregation, utilizing an inner-join methodology to synchronize disparate data streams into a coherent temporal sequence. The system was developed using strictly open-source and freely available data streams to establish a rigorous baseline, with the architectural capacity to integrate premium, proprietary institutional data feeds to drastically improve predictive resolution in subsequent iterations.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Data Aggregation and Feature Engineering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ingestion pipeline aggregates raw feeds from the Binance API for high-frequency pricing data, Bloomberg for broader macroeconomic indicators, and CoinMetrics for deep on-chain blockchain repositories.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To ensure temporal alignment, which is critical for sequence-based modeling, the system executes a programmatic inner join, merging the datasets based on a normalized datetime index.</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Crucially, the pipeline enforces strict data hygiene by systematically dropping incomplete rows, preventing sequence corruption or hallucinated imputations during the training phase.</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Feature engineering within the system is designed to extract maximal predictive variance. The core engineered features extend beyond simple price action, incorporating: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tl w:val="0"/>
        </w:rPr>
        <w:t xml:space="preserve">Volatility Metrics: The calculation of 7-day, 14-day, 30-day, and 90-day rolling standard deviations of logarithmic daily returns, providing the model with a granular understanding of localized and macro variance expansion.</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Moving Average Convergence: The implementation of 7-day and 30-day moving averages, alongside the dynamic Price-to-Moving-Average ratio, allowing the network to identify localized overextension and mean-reversion probabilities.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tl w:val="0"/>
        </w:rPr>
        <w:t xml:space="preserve">Network Utility Ratios: A highly specific ratio dividing the total Transaction Count by the Active Address Count. This metric serves as a proxy for organic network utility, distinguishing genuine economic activity from automated, low-value spam transactions.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filter noise and eliminate collinear features that could destabilize the attention mechanisms, the system employs the Boruta algorithm, a highly aggressive dimensionality reduction wrapper built around a Random Forest Classifier.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Boruta iteratively compares the importance of original features against randomized shadow features, ruthlessly discarding any inputs that fail to demonstrate statistically significant predictive fidelity, leaving only the most pristine signals.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Prior to sequence generation, the entire feature space is normalized using the MinMaxScaler algorithm, restricting values between zero and one to ensure stable gradient descent and optimal convergence during the training of the transformer's dense neural layers.[4, 4]</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Sequence Windowing and Positional Encoding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Because the self-attention operations within a Transformer are entirely permutation-invariant—meaning the network processes data as an unordered set rather than a chronological sequence—temporal context must be explicitly injected into the data matrix. The proposed architecture achieves this through mathematical Positional Encoding, generating a unique time-stamp vector via alternating sine and cosine functions that allows the model to understand the relative position of each data point.</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continuous, multi-variate time-series data is then segmented using a sliding window technique. The data is divided into overlapping five-day conceptual chunks, parameterized into strict sequences of exactly sixty steps.[4, 4] This specific sequence length was mathematically optimized to capture sufficient short-term volatility patterns without diluting the computational efficiency of the attention matrices.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 The Isolated Computation Graphs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defining innovation of the Model3_OnChain architecture is the division of the processed sequences into two entirely isolated, specialized transformer heads.[4, 4] This Dual-Head approach guarantees that the deterministic data of the blockchain and the stochastic data of human sentiment are processed independently, allowing each modality to develop highly distinct internal representations before synthesis.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3.3.1 Head 1: The Deterministic On-Chain Modality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first computation graph is strictly dedicated to analyzing the deterministic mechanics and fundamental truths recorded on the Bitcoin blockchain.[4, 4] On-chain analysis represents a paradigm shift in financial modeling; unlike traditional equities, where capital flows are obscured by opaque banking systems, the blockchain provides a publicly verifiable, real-time ledger of all global transactions.</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specific head processes critical metrics such as the Market Value to Realized Value (MVRV) ratio, which serves as a macroscopic oscillator tracking the aggregate profitability of the entire network. When MVRV reaches extreme highs, it signals that the majority of market participants hold massive unrealized profits, highly indicative of a macroeconomic top and impending sell pressure.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Concurrently, this head tracks Exchange Net Flows, monitoring the movement of aggregate capital onto centralized liquidity providers.[4, 4] A sudden influx of capital to exchanges typically represents "whale" entities preparing to liquidate holdings, providing a deterministic leading indicator of downside volatility. By isolating these metrics, the On-Chain Head learns the precise mechanical rhythms of accumulation and distribution cycles without being contaminated by fleeting news cycles or social media panic.</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3.3.2 Head 2: The Stochastic Sentiment Modality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parallel computation graph is engineered to capture the stochastic, highly volatile nature of human behavioral economics.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Cryptocurrency markets are uniquely driven by retail sentiment, making behavioral quantification a necessary component of any predictive framework. This head analyzes the Crypto Fear &amp; Greed index alongside normalized Google Trends search volumes to quantify absolute retail market euphoria or sheer panic.[4, 4]</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By operating independently, the Sentiment Head learns to identify the specific signatures of emotional capitulation and irrational exuberance. Often, fundamental on-chain data will signal strength while sentiment data signals extreme fear—a classic contrarian buying opportunity. By maintaining isolation until the final processing stage, the model can weigh these conflicting signals accurately.</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Both transformer heads utilize highly customized encoders featuring Multi-Head Attention mechanisms, Dropout layers for aggressive regularization to prevent overfitting, Layer Normalization, and Conv1D layers for localized, high-frequency pattern extraction. Finally, a GlobalAveragePooling1D layer is applied to reduce the dimensionality of each sequence, distilling the complex temporal patterns into dense representations before they reach the fusion stage.</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3.4 The Fusion Layer and Directional Output Synthesis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distinct output vectors generated by the On-Chain and Sentiment heads converge within the Fusion Layer. Here, the representations are mathematically concatenated, forming a highly dense 128-dimensional tensor.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unified tensor acts as the holistic representation of the market's current fundamental and behavioral state.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tensor is subsequently passed through a final dense neural network layer equipped with a Sigmoid activation function.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utilization of the Sigmoid function maps the 128-dimensional output into a continuous probability distribution strictly bounded between zero and one. Crucially, the system translates this probability into deterministic, binary directional signals—predicting purely market trajectory (Up or Down)—to inform automated trading states (HOLD, ACCUMULATE, or DISTRIBUTE).[4, 4] Extensive iterative feedback during the development phase explicitly stripped the system of estimated absolute price range predictions. Attempting to predict the exact numerical value of a highly volatile asset often leads to catastrophic execution errors; predicting the directional vector provides a significantly more robust foundation for capital allocation.</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Asymmetric Risk Optimization and the Mathematics of Capital Preservation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most significant architectural divergence of the proposed framework from conventional deep learning methodologies is its complete abandonment of symmetric error optimization. While traditional academic models attempt to maximize absolute predictive accuracy using standard, symmetric loss functions—such as Mean Squared Error or Mean Absolute Percentage Error—they fundamentally fail to account for the asymmetric risk profile inherent in financial markets.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a purely academic setting, an algorithm penalized by symmetric loss treats all errors equally. If the model incorrectly predicts a 5% increase (a false positive) or misses a 5% increase (a false negative), the mathematical penalty applied to the model's weights during backpropagation is identical. In live financial markets, this symmetry is a lethal flaw. Missing a 5% upward move merely represents a missed opportunity; acting on a false positive during a structural macroeconomic collapse results in actual, compounding portfolio ruin.</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enforce an absolute mandate of capital preservation, the model was engineered with a highly customized, class-weighted asymmetric loss function.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specific weighting logic imposes severe, disproportionate gradient penalties on the model when it generates a false-positive "Up" prediction during periods of macro-market deceleration or localized structural crashes.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approach mirrors advanced methodologies utilized in medical imaging and anomaly detection, where hybrid, class-weighted loss functions are deployed to ensure minority-class anomalies (such as tumors or fraudulent blockchain transactions) are not suppressed by the dominant majority-class data patterns.</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weighting the backpropagation loss heavily against optimistic errors, the model is forcibly trained to adopt a conservative, risk-averse posture. When the ingested market data exhibits extreme variance, or when the On-Chain and Sentiment heads produce violently conflicting signals, the asymmetric loss function ensures that the model mathematically defaults to a posture of capital protection—outputting a HOLD or DISTRIBUTE signal rather than risking institutional exposure on a low-probability ACCUMULATE signal.[4, 4, 25] This mechanism serves as a direct algorithmic manifestation of defensive portfolio management.</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Empirical Evaluation and Ablation Studies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theoretical advantages of the dual-head architecture were subjected to rigorous empirical evaluation, benchmarking the Dual-Head model against a suite of classical statistical models and contemporary deep learning baselines.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Benchmark Comparisons and Efficacy Metrics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primary evaluation utilized standard regression and classification metrics, specifically Root Mean Squared Error (RMSE), Mean Absolute Error (MAE), Mean Absolute Percentage Error (MAPE), Directional Accuracy, and the Sharpe Ratio (to quantify risk-adjusted returns).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project established a strict performance threshold, aiming to achieve an RMSE below $1,000 to definitively outperform the established LSTM baseline of approximately $1,030.</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benchmarking analysis evaluated four distinct models: an LSTM baseline, a GRU baseline, a single-modality Transformer restricted purely to Open-High-Low-Close (OHLC) price data, and the fully realized Dual-Head framework.[4, 4]</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Model Architecture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RMSE (USD)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MAE (USD)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MAPE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Directional Accuracy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Sharpe Ratio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LSTM (Baseline)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GRU (Baseline)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805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1.78%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53.1%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Transformer (Price Only)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54.5%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Proposed Model (Dual-Head)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890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680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1.28%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56.2%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3.24</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empirical results definitively validate the architecture. The Dual-Head model consistently outperformed all baseline variants across every measured metric. By achieving an RMSE of 890 and a superior Sharpe Ratio of 3.24, the framework demonstrated an unparalleled capacity to map non-linear market dependencies and extract actionable, risk-adjusted alpha from volatile price action.</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Ablation Analysis and the Importance of Multi-Modality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scientifically validate the necessity of the Dual-Head topology, an ablation study was conducted, comparing the performance of the fully integrated dual-head model against the isolated, single-head Price-Only Transformer. The inclusion and isolated processing of the on-chain and sentiment modalities yielded a distinct, measurable 6.3% improvement in RMSE over the single-head architecture.[4, 4] This finding substantiates the foundational hypothesis: modality-specific feature learning—allowing distinct computation graphs to process fundamental and behavioral data independent of one another prior to fusion—prevents the dilution of critical signals and significantly enhances predictive resolution.</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5.3 Explainable AI (XAI) and Feature Attention Quantification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Moving beyond raw accuracy metrics, the system leverages Explainable AI (XAI) attention maps to quantify the precise feature importance driving the model's predictions at any given moment.</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This capability is critical for institutional validation. The ablation-style analysis of the attention matrices revealed that the model naturally evolved to assign a dominant predictive weight to the deterministic On-Chain modality, reserving a smaller, highly tactical allocation for the Sentiment indicators.[4, 4]</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Modality &amp; Specific 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Allocation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Economic Significance &amp; Model Utilization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On-Chain: MVRV Ratio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Identified as the strongest predictive signal for identifying absolute valuation extremes and macro market tops/bottoms.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On-Chain: Exchange Inflow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Heavily weighted for its ability to track localized "whale" capitulation and impending structural sell pressure.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On-Chain: Active Addresses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Utilized as a stable proxy for underlying network health, adoption, and organic growth.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On-Chain: Transaction Count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Reflecting actualized network utility and baseline economic transfer velocity.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Sentiment: Fear &amp; Greed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Highly valuable for localized sentiment timing and triggering contrarian entry/exit signaling.</w:t>
            </w:r>
          </w:p>
        </w:tc>
      </w:tr>
    </w:tbl>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quantified attention distribution proves that the model does not rely on opaque correlations; it relies on structurally sound macroeconomic indicators, prioritizing the fundamental truth of the blockchain (80% total weight) over the noise of human emotion (15% weight).</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5.4 The Ultimate Stress Test: Capital Preservation During Macroeconomic Collapse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ultimate empirical validation of the asymmetric, class-weighted loss function occurred during a rigorous historical backtest of a major structural market crash simulated to occur in March 2026. During this specific period of intense, sustained capitulation, a standard Buy-and-Hold benchmark strategy sustained a severe portfolio drawdown of 20.5%.[4, 4]</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stark contrast, the algorithm successfully identified the structural degradation of the market prior to the collapse. Driven by the 22% attention weight applied to surging Exchange Inflows and plummeting MVRV metrics, the system shifted rapidly from ACCUMULATE into a DISTRIBUTE and subsequent HOLD posture.[4, 4] Consequently, the model completely limited its downside exposure and experienced a maximum drawdown of only 8%.[4, 4] This represents a 60% relative improvement in capital protection compared to the broader market index, empirically proving the effectiveness of the asymmetric loss function in preserving institutional capital during black swan volatility events.[4, 4]</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System Engineering, UI/UX, and Institutional Integration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Theoretical performance isolated within a Jupyter notebook holds limited utility for institutional deployment. Therefore, the Model3_OnChain framework was engineered as a production-grade, multi-platform financial application. The system infrastructure operates on a highly robust FastAPI backend, bound to port 8002, and is deployed simultaneously as a multi-page web application and a native Android mobile application compiled under SDK 35.</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Rigorous network configurations ensure synchronous data telemetry between the host IP (172.22.47.194) and physical mobile devices, entirely eliminating the data synchronization bugs and null-data states prevalent in early emulator testing phases.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product architecture is divided into three distinct, highly optimized institutional interfaces, navigable via a seamlessly synchronized bottom tab bar.</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The Terminal: Live Operational Dashboard</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Terminal serves as the real-time operational monitor for the trading system. Iterative UI/UX feedback led to the strict deprecation of visually cluttered, redundant elements—such as static asset allocation pie charts and generic system health indicators—in favor of a hyper-focused, institutional-grade 365-day BTC price history chart.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terminal features interactive hover crosshairs and dynamic prediction overlays, instantly displaying the current AI stance alongside real-time confidence intervals and quantified risk level assessments.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Early iterations suffering from inverted button execution states and hallucinated estimated price ranges were explicitly excised to accurately reflect the model's true nature as a directional, rather than absolute, predictor.</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 The Simulator: Historical Backtesting Engine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Simulator empowers quantitative analysts and risk managers to execute comparative historical backtesting against the AI's logic. The user interface was refined to replace static, restrictive dropdown menus with dynamic calendar date pickers, allowing for highly granular, custom historical querying.</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visualization layer includes dynamic X/Y axes and intuitive click-to-zoom functionality, ensuring that all underlying metric cards update dynamically and instantaneously in response to the specific simulation timeframe selected, providing immediate, verifiable comparisons between model performance and standard benchmark strategies.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Algorithmic Accountability and The Neural Log</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Addressing the critical industry requirement for Explainable AI, the third interface, the Engine Room, visualizes the exact, real-time mechanics of the Dual-Head architecture.[4, 4] Through dynamic gauges and real-time fusion layer status bars, analysts can directly observe the raw outputs of the On-Chain and Sentiment computation graphs immediately before they are mathematically synthesized.</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Crucially, the Engine Room houses the Neural Log, a comprehensive AI Decision Audit Trail.</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In environments heavily regulated by emerging legislation, the deployment of autonomous systems requires immutable provenance for all algorithmic decisions to prevent illegal market manipulation and ensure fiduciary responsibility.</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By recording every deterministic input, every shift in attention weight distribution, and the resultant directional inference into a structured, blockchain-backed audit trail, the Neural Log provides transparent, actionable, and legally defensible justifications for every trade executed by the model.</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specific capability directly targets the institutional market, fulfilling the demands of quantitative hedge funds, regulatory bodies, and analytics providers who require rigorous, verifiable accountability to justify the delegation of capital allocation to autonomous algorithms.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implementation of the Neural Log ensures the system complies with the transparency mandates outlined in the EU AI Act and standard cross-market surveillance protocols, transforming the AI from an un-auditable black box into a transparent fiduciary agent.</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Securing the Autonomous Execution Environment via Advanced LLM Integration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algorithmic trading systems migrate from isolated backtesting environments to live, autonomous execution frameworks interacting directly with financial exchange APIs, the systemic risk of cybersecurity vulnerabilities expands exponentially. The integration of advanced deep learning and Large Language Models into the financial technology stack necessitates a paradigm shift in how automated vulnerability detection and code security are managed.</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The proposed system, particularly its FastAPI backend and trade execution logic, must be rigorously protected against both adversarial market inputs (such as data poisoning) and sophisticated programmatic logic vulnerabilities.</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8.1 The Failure of Static Analysis and the Rise of LLM Security Agents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complexity of modern financial software renders traditional static, rule-based security analysis insufficient. Legacy methods lack the semantic adaptability to identify nuanced, multi-step logic flaws in deep learning deployment code or complex API routing.</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Consequently, recent state-of-the-art research highlights the profound efficacy of integrating Large Language Models as dynamic reasoning engines for automated vulnerability detection within production codebases.</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By treating LLMs not merely as passive text classifiers but as tool-using, reasoning agents, advanced security frameworks can parse multi-file data flows, understand complex control execution paths, and identify critical security sinks at the function level.</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In the context of securing the platform, continuous code scanning and execution monitoring is augmented using advanced frameworks such as ConColl (Confidence- and Collaboration-based decision making).</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ConColl system represents the apex of current LLM-driven vulnerability detection, adopting a highly efficient three-stage sequential classification framework.</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When evaluating the FastAPI deployment code, the process begins with a single LLM agent analyzing the code for obvious syntactic flaws. If uncertainty remains, the system escalates to the second stage: Retrieval-Augmented Generation (RAG). By utilizing RAG, the LLM cross-references the model codebase against massive external databases of known API vulnerabilities and financial exploits.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Finally, if the logic is highly complex, the system escalates to multi-agent reasoning, where multiple LLMs debate the execution path to reach a high-certainty prediction regarding the code's safety.</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This hybrid neuro-symbolic approach, balancing computational cost with extreme precision, dramatically outperforms traditional state-of-the-art baselines, pinpointing significantly more critical issues than static analyzers while maintaining high recall and F1 scores.</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8.2 The Necessity of RAG over Generative Hallucination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reliance on LLMs for securing financial trading systems is not without significant risk. Generative models possess immense world-knowledge pretraining—understanding vulnerability patterns, dangerous API configurations, and protocol specifications—but they are highly prone to hallucination, frequently inventing non-existent code paths or phantom vulnerabilities.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Therefore, the application of models like GPT-4o in systems such as LProtector relies heavily on grounding the LLM's comprehension through Retrieval-Augmented Generation rather than relying on pure zero-shot generation.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By constraining the LLM to verified external databases and real-time execution outputs, the framework achieves moderately reliable code generation and enables "generate, run, and fix" iterative repair loops, allowing the system to automatically patch identified vulnerabilities in the trading API before they can be exploited by malicious actors.</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8.3 Benchmarking, Fine-Tuning Risks, and Systemic Vulnerability</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ensure the absolute robustness of the execution agents governing the trading logic, the defensive codebase must be continuously evaluated against standardized, rigorous security benchmarking datasets.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evaluation of LLM-based security systems relies on high-fidelity vulnerability datasets. Analysis of current benchmarks reveals significant variance in quality and composition: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Benchmark Dataset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Source Origin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Percentage of Vulnerable Snippets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Relevance to Financial AI Security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Draper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1,274k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Useful for massive pre-training, but low density of actual flaws.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Big-Vul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264k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Real-world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Highly critical for testing the LLM's ability to identify complex C/C++ and Python vulnerabilities in execution code.</w:t>
            </w:r>
            <w:r w:rsidDel="00000000" w:rsidR="00000000" w:rsidRPr="00000000">
              <w:rPr>
                <w:rFonts w:ascii="Arial" w:cs="Arial" w:eastAsia="Arial" w:hAnsi="Arial"/>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DiverseVul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349k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Real-world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7.02%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Excellent for evaluating multi-domain logic flaws.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FormAI-v2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331k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AI Generated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62.07%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Vital for testing how the security system responds to synthetic, LLM-generated code typical of modern deployment pipelines.</w:t>
            </w:r>
            <w:r w:rsidDel="00000000" w:rsidR="00000000" w:rsidRPr="00000000">
              <w:rPr>
                <w:rFonts w:ascii="Arial" w:cs="Arial" w:eastAsia="Arial" w:hAnsi="Arial"/>
                <w:color w:val="444746"/>
                <w:sz w:val="24"/>
                <w:szCs w:val="24"/>
                <w:vertAlign w:val="superscript"/>
                <w:rtl w:val="0"/>
              </w:rPr>
              <w:t xml:space="preserve">35</w:t>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Beyond identifying code flaws, modern benchmarks such as the Berkeley Function-Calling Leaderboard (BFCL) and SafeGenBench are strictly required to verify that the automated tools interacting with financial exchanges operate securely within complex, multi-turn execution scenarios, preventing unauthorized parallel function calls or malicious API routing.</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Furthermore, extensive literature from institutional security researchers warns of the profound hazards associated with the custom fine-tuning of foundation models for specific domains, such as cybersecurity or finance.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While instruction-tuned fine-tuning via reading comprehension texts or domain-specific corpora increases specialized knowledge, it frequently and demonstrably breaks the underlying safety and security alignments of the foundation model.</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phenomenon presents a critical systemic vulnerability for financial applications. If the Neural Log, or the system's underlying execution layers, rely on heavily fine-tuned generative models for trade reporting or API formatting, those models become highly susceptible to context-aware prompt injection and malicious manipulation.</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An adversary could theoretically inject malicious prompts into the incoming on-chain metadata, exploiting the broken safety alignments of the fine-tuned LLM to alter the audit trail or force the API to execute unauthorized trades. Consequently, the architecture strictly limits fine-tuning in favor of highly engineered prompting strategies and RAG integrations, ensuring that the foundational safety alignments of the utilized LLMs remain intact while still achieving state-of-the-art performance in handling novel execution tasks.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By enveloping the proposed trading framework within this modern, LLM-monitored cybersecurity paradigm, the architecture guarantees that both its mathematical financial predictions and its programmatic execution pathways remain secure, tamper-resistant, and strictly aligned with institutional-grade risk parameters.</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The Resolution of the Current Research Gap</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research and architectural development detailed within this report definitively solves the critical bifurcation between predictive mathematical performance and institutional trust—specifically accountability and risk management—within highly volatile, non-stationary digital asset markets.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Historically, the discipline of financial time-series forecasting has been deeply polarized. On one side of the spectrum, traditional statistical models and linear frameworks are highly interpretable, mathematically safe, and well-understood by regulators. However, they lack the computational capacity to map the complex, non-linear dependencies of modern crypto-economics, leading to poor predictive performance and significant capital degradation in volatile regimes. On the opposite side of the spectrum, advanced deep neural networks—such as standard LSTMs and early, unoptimized Transformers—offer high theoretical accuracy but operate as entirely opaque black boxes. Furthermore, these standard deep learning models are fatally flawed by their optimization for symmetric error, treating a missed opportunity to accumulate exactly the same as an active, realized loss caused by accumulating during a crash. In applied quantitative finance, this symmetry leads to catastrophic capital destruction during structural market collapses.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proposed system successfully bridges this gap through a three-pillared architectural breakthrough, establishing a new paradigm for autonomous financial AI:</w:t>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Asymmetric Risk Optimization for Capital Preservation:</w:t>
      </w:r>
      <w:r w:rsidDel="00000000" w:rsidR="00000000" w:rsidRPr="00000000">
        <w:rPr>
          <w:rFonts w:ascii="Arial" w:cs="Arial" w:eastAsia="Arial" w:hAnsi="Arial"/>
          <w:color w:val="1f1f1f"/>
          <w:rtl w:val="0"/>
        </w:rPr>
        <w:t xml:space="preserve"> By entirely abandoning symmetric loss functions in favor of a specialized, class-weighted asymmetric loss topology, the model is explicitly, mathematically engineered for capital preservation. It heavily penalizes optimistic false positives during macroeconomic downturns, resulting in a defensive portfolio posture that successfully mitigated a 20.5% market crash down to a mere 8% portfolio drawdown. This solves the fundamental flaw of deep learning models chasing maximum theoretical yield at the expense of ruinous risk.</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Dual-Modality Isolation to Prevent Feature Dilution:</w:t>
      </w:r>
      <w:r w:rsidDel="00000000" w:rsidR="00000000" w:rsidRPr="00000000">
        <w:rPr>
          <w:rFonts w:ascii="Arial" w:cs="Arial" w:eastAsia="Arial" w:hAnsi="Arial"/>
          <w:color w:val="1f1f1f"/>
          <w:rtl w:val="0"/>
        </w:rPr>
        <w:t xml:space="preserve"> Rather than diluting critical inputs by feeding them into a single, noisy network, the Dual-Head Transformer solves the feature-conflict gap. By allowing deterministic, on-chain ledger data and stochastic, behavioral human sentiment to develop isolated mathematical representations before final fusion, the model extracts pure, high-fidelity signals without cross-contamination.</w:t>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Institutional Explainability and Cryptographic Accountability:</w:t>
      </w:r>
      <w:r w:rsidDel="00000000" w:rsidR="00000000" w:rsidRPr="00000000">
        <w:rPr>
          <w:rFonts w:ascii="Arial" w:cs="Arial" w:eastAsia="Arial" w:hAnsi="Arial"/>
          <w:color w:val="1f1f1f"/>
          <w:rtl w:val="0"/>
        </w:rPr>
        <w:t xml:space="preserve"> The research permanently closes the regulatory and trust gap by replacing the deep learning black box with an immutable, transparent Audit Trail via the Engine Room and the Neural Log. By surfacing the exact attention weights—such as the 28% reliance on the MVRV ratio or the 22% reliance on Exchange Inflows—that drove a specific inference, the system provides the precise interpretability and fiduciary accountability demanded by institutional risk managers and strictly required by emerging regulatory frameworks such as the European Union's AI Act. When combined with state-of-the-art, LLM-driven vulnerability detection frameworks to secure the execution APIs, the system transforms theoretical artificial intelligence into a secure, fully deployable, institutional-grade financial agent.</w:t>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Forecasting Bitcoin Price With Neural and Statistical Models Across Different Time Granularities - IEEE Xplore, accessed on April 16, 2026, </w:t>
      </w:r>
      <w:hyperlink r:id="rId6">
        <w:r w:rsidDel="00000000" w:rsidR="00000000" w:rsidRPr="00000000">
          <w:rPr>
            <w:rFonts w:ascii="Arial" w:cs="Arial" w:eastAsia="Arial" w:hAnsi="Arial"/>
            <w:color w:val="0000ee"/>
            <w:sz w:val="24"/>
            <w:szCs w:val="24"/>
            <w:u w:val="single"/>
            <w:rtl w:val="0"/>
          </w:rPr>
          <w:t xml:space="preserve">https://ieeexplore.ieee.org/iel8/6287639/10820123/11206330.pdf</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Artificial Intelligence in Finance: From Market Prediction to Macroeconomic and Firm-Level Forecasting - MDPI, accessed on April 16, 2026, </w:t>
      </w:r>
      <w:hyperlink r:id="rId7">
        <w:r w:rsidDel="00000000" w:rsidR="00000000" w:rsidRPr="00000000">
          <w:rPr>
            <w:rFonts w:ascii="Arial" w:cs="Arial" w:eastAsia="Arial" w:hAnsi="Arial"/>
            <w:color w:val="0000ee"/>
            <w:sz w:val="24"/>
            <w:szCs w:val="24"/>
            <w:u w:val="single"/>
            <w:rtl w:val="0"/>
          </w:rPr>
          <w:t xml:space="preserve">https://www.mdpi.com/2673-2688/6/11/295</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Temporal Fusion Transformer-Based Trading Strategy for Multi-Crypto Assets Using On-Chain and Technical Indicators - MDPI, accessed on April 16, 2026, </w:t>
      </w:r>
      <w:hyperlink r:id="rId8">
        <w:r w:rsidDel="00000000" w:rsidR="00000000" w:rsidRPr="00000000">
          <w:rPr>
            <w:rFonts w:ascii="Arial" w:cs="Arial" w:eastAsia="Arial" w:hAnsi="Arial"/>
            <w:color w:val="0000ee"/>
            <w:sz w:val="24"/>
            <w:szCs w:val="24"/>
            <w:u w:val="single"/>
            <w:rtl w:val="0"/>
          </w:rPr>
          <w:t xml:space="preserve">https://www.mdpi.com/2079-8954/13/6/474</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script_2.py</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Loss Functions in Financial Sector:An Overview - ResearchGate, accessed on April 16, 2026, </w:t>
      </w:r>
      <w:hyperlink r:id="rId9">
        <w:r w:rsidDel="00000000" w:rsidR="00000000" w:rsidRPr="00000000">
          <w:rPr>
            <w:rFonts w:ascii="Arial" w:cs="Arial" w:eastAsia="Arial" w:hAnsi="Arial"/>
            <w:color w:val="0000ee"/>
            <w:sz w:val="24"/>
            <w:szCs w:val="24"/>
            <w:u w:val="single"/>
            <w:rtl w:val="0"/>
          </w:rPr>
          <w:t xml:space="preserve">https://www.researchgate.net/publication/303227205_Loss_Functions_in_Financial_SectorAn_Overview</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Forecasting the U.S. Treasury Yield Curve: A Distributionally Robust Machine Learning Approach - arXiv, accessed on April 16, 2026, </w:t>
      </w:r>
      <w:hyperlink r:id="rId10">
        <w:r w:rsidDel="00000000" w:rsidR="00000000" w:rsidRPr="00000000">
          <w:rPr>
            <w:rFonts w:ascii="Arial" w:cs="Arial" w:eastAsia="Arial" w:hAnsi="Arial"/>
            <w:color w:val="0000ee"/>
            <w:sz w:val="24"/>
            <w:szCs w:val="24"/>
            <w:u w:val="single"/>
            <w:rtl w:val="0"/>
          </w:rPr>
          <w:t xml:space="preserve">https://arxiv.org/html/2601.04608v1</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AI-Driven Predictive Modeling for Detecting Suspicious Trading Patterns, Anomalous Order Activity, and Market Manipulation in - Al-Kindi Center for Research and Development, accessed on April 16, 2026, </w:t>
      </w:r>
      <w:hyperlink r:id="rId11">
        <w:r w:rsidDel="00000000" w:rsidR="00000000" w:rsidRPr="00000000">
          <w:rPr>
            <w:rFonts w:ascii="Arial" w:cs="Arial" w:eastAsia="Arial" w:hAnsi="Arial"/>
            <w:color w:val="0000ee"/>
            <w:sz w:val="24"/>
            <w:szCs w:val="24"/>
            <w:u w:val="single"/>
            <w:rtl w:val="0"/>
          </w:rPr>
          <w:t xml:space="preserve">https://al-kindipublishers.org/index.php/jefas/article/download/12353/11045/33362</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Utilizing Blockchain for Trustworthy and Transparent AI Decision Making - Journal Pandawan, accessed on April 16, 2026, </w:t>
      </w:r>
      <w:hyperlink r:id="rId12">
        <w:r w:rsidDel="00000000" w:rsidR="00000000" w:rsidRPr="00000000">
          <w:rPr>
            <w:rFonts w:ascii="Arial" w:cs="Arial" w:eastAsia="Arial" w:hAnsi="Arial"/>
            <w:color w:val="0000ee"/>
            <w:sz w:val="24"/>
            <w:szCs w:val="24"/>
            <w:u w:val="single"/>
            <w:rtl w:val="0"/>
          </w:rPr>
          <w:t xml:space="preserve">https://journal.pandawan.id/b-front/article/download/1031/718</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Using Blockchain Ledgers to Record AI Decisions in IoT - MDPI, accessed on April 16, 2026, </w:t>
      </w:r>
      <w:hyperlink r:id="rId13">
        <w:r w:rsidDel="00000000" w:rsidR="00000000" w:rsidRPr="00000000">
          <w:rPr>
            <w:rFonts w:ascii="Arial" w:cs="Arial" w:eastAsia="Arial" w:hAnsi="Arial"/>
            <w:color w:val="0000ee"/>
            <w:sz w:val="24"/>
            <w:szCs w:val="24"/>
            <w:u w:val="single"/>
            <w:rtl w:val="0"/>
          </w:rPr>
          <w:t xml:space="preserve">https://www.mdpi.com/2624-831X/6/3/37</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Research on the LLM-Driven Vulnerability Detection System Using LProtector - IEEE Xplore, accessed on April 16, 2026, </w:t>
      </w:r>
      <w:hyperlink r:id="rId14">
        <w:r w:rsidDel="00000000" w:rsidR="00000000" w:rsidRPr="00000000">
          <w:rPr>
            <w:rFonts w:ascii="Arial" w:cs="Arial" w:eastAsia="Arial" w:hAnsi="Arial"/>
            <w:color w:val="0000ee"/>
            <w:sz w:val="24"/>
            <w:szCs w:val="24"/>
            <w:u w:val="single"/>
            <w:rtl w:val="0"/>
          </w:rPr>
          <w:t xml:space="preserve">https://ieeexplore.ieee.org/document/10859408/</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Dependable Code Repair with LLMs: AI-Driven Vulnerability Detection and Automated Patching - seclab@SKKU, accessed on April 16, 2026, </w:t>
      </w:r>
      <w:hyperlink r:id="rId15">
        <w:r w:rsidDel="00000000" w:rsidR="00000000" w:rsidRPr="00000000">
          <w:rPr>
            <w:rFonts w:ascii="Arial" w:cs="Arial" w:eastAsia="Arial" w:hAnsi="Arial"/>
            <w:color w:val="0000ee"/>
            <w:sz w:val="24"/>
            <w:szCs w:val="24"/>
            <w:u w:val="single"/>
            <w:rtl w:val="0"/>
          </w:rPr>
          <w:t xml:space="preserve">https://seclab.skku.edu/wp-content/uploads/2025/12/PRDC_AID_136_2025.pdf</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Code Security Benchmarking - Emergent Mind, accessed on April 16, 2026, </w:t>
      </w:r>
      <w:hyperlink r:id="rId16">
        <w:r w:rsidDel="00000000" w:rsidR="00000000" w:rsidRPr="00000000">
          <w:rPr>
            <w:rFonts w:ascii="Arial" w:cs="Arial" w:eastAsia="Arial" w:hAnsi="Arial"/>
            <w:color w:val="0000ee"/>
            <w:sz w:val="24"/>
            <w:szCs w:val="24"/>
            <w:u w:val="single"/>
            <w:rtl w:val="0"/>
          </w:rPr>
          <w:t xml:space="preserve">https://www.emergentmind.com/topics/code-security-benchmarking</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Fine-Tuning LLMs Breaks Their Safety and Security Alignment - Cisco Blogs, accessed on April 16, 2026, </w:t>
      </w:r>
      <w:hyperlink r:id="rId17">
        <w:r w:rsidDel="00000000" w:rsidR="00000000" w:rsidRPr="00000000">
          <w:rPr>
            <w:rFonts w:ascii="Arial" w:cs="Arial" w:eastAsia="Arial" w:hAnsi="Arial"/>
            <w:color w:val="0000ee"/>
            <w:sz w:val="24"/>
            <w:szCs w:val="24"/>
            <w:u w:val="single"/>
            <w:rtl w:val="0"/>
          </w:rPr>
          <w:t xml:space="preserve">https://blogs.cisco.com/security/fine-tuning-llms-breaks-their-safety-and-security-alignment</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Cryptocurrency Volatility Forecasting Using Transformer-Based Deep Learning Models and On-Chain Metrics - ResearchGate, accessed on April 16, 2026, </w:t>
      </w:r>
      <w:hyperlink r:id="rId18">
        <w:r w:rsidDel="00000000" w:rsidR="00000000" w:rsidRPr="00000000">
          <w:rPr>
            <w:rFonts w:ascii="Arial" w:cs="Arial" w:eastAsia="Arial" w:hAnsi="Arial"/>
            <w:color w:val="0000ee"/>
            <w:sz w:val="24"/>
            <w:szCs w:val="24"/>
            <w:u w:val="single"/>
            <w:rtl w:val="0"/>
          </w:rPr>
          <w:t xml:space="preserve">https://www.researchgate.net/publication/393125827_Cryptocurrency_Volatility_Forecasting_Using_Transformer-Based_Deep_Learning_Models_and_On-Chain_Metrics</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Role of Transformer Models in Advancing Blockchain Technology: A Systematic Review, accessed on April 16, 2026, </w:t>
      </w:r>
      <w:hyperlink r:id="rId19">
        <w:r w:rsidDel="00000000" w:rsidR="00000000" w:rsidRPr="00000000">
          <w:rPr>
            <w:rFonts w:ascii="Arial" w:cs="Arial" w:eastAsia="Arial" w:hAnsi="Arial"/>
            <w:color w:val="0000ee"/>
            <w:sz w:val="24"/>
            <w:szCs w:val="24"/>
            <w:u w:val="single"/>
            <w:rtl w:val="0"/>
          </w:rPr>
          <w:t xml:space="preserve">https://arxiv.org/html/2409.02139v1</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On Forecasting Cryptocurrency Prices: A Comparison of Machine Learning, Deep Learning, and Ensembles - Semantic Scholar, accessed on April 16, 2026, </w:t>
      </w:r>
      <w:hyperlink r:id="rId20">
        <w:r w:rsidDel="00000000" w:rsidR="00000000" w:rsidRPr="00000000">
          <w:rPr>
            <w:rFonts w:ascii="Arial" w:cs="Arial" w:eastAsia="Arial" w:hAnsi="Arial"/>
            <w:color w:val="0000ee"/>
            <w:sz w:val="24"/>
            <w:szCs w:val="24"/>
            <w:u w:val="single"/>
            <w:rtl w:val="0"/>
          </w:rPr>
          <w:t xml:space="preserve">https://pdfs.semanticscholar.org/6bb1/603ae745807d547e512b12e16c43fbd19d2b.pdf</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Adaptive Temporal Fusion Transformers for Cryptocurrency Price Prediction - arXiv, accessed on April 16, 2026, </w:t>
      </w:r>
      <w:hyperlink r:id="rId21">
        <w:r w:rsidDel="00000000" w:rsidR="00000000" w:rsidRPr="00000000">
          <w:rPr>
            <w:rFonts w:ascii="Arial" w:cs="Arial" w:eastAsia="Arial" w:hAnsi="Arial"/>
            <w:color w:val="0000ee"/>
            <w:sz w:val="24"/>
            <w:szCs w:val="24"/>
            <w:u w:val="single"/>
            <w:rtl w:val="0"/>
          </w:rPr>
          <w:t xml:space="preserve">https://arxiv.org/html/2509.10542v1</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Enhancing Anomaly Detection in Blockchain Transactions with Transformer-Based Models, accessed on April 16, 2026, </w:t>
      </w:r>
      <w:hyperlink r:id="rId22">
        <w:r w:rsidDel="00000000" w:rsidR="00000000" w:rsidRPr="00000000">
          <w:rPr>
            <w:rFonts w:ascii="Arial" w:cs="Arial" w:eastAsia="Arial" w:hAnsi="Arial"/>
            <w:color w:val="0000ee"/>
            <w:sz w:val="24"/>
            <w:szCs w:val="24"/>
            <w:u w:val="single"/>
            <w:rtl w:val="0"/>
          </w:rPr>
          <w:t xml:space="preserve">https://ieeexplore.ieee.org/document/10844493/</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Classification of Blockchain Transactions Across Chains: Theory, Methods, and Applications, accessed on April 16, 2026, </w:t>
      </w:r>
      <w:hyperlink r:id="rId23">
        <w:r w:rsidDel="00000000" w:rsidR="00000000" w:rsidRPr="00000000">
          <w:rPr>
            <w:rFonts w:ascii="Arial" w:cs="Arial" w:eastAsia="Arial" w:hAnsi="Arial"/>
            <w:color w:val="0000ee"/>
            <w:sz w:val="24"/>
            <w:szCs w:val="24"/>
            <w:u w:val="single"/>
            <w:rtl w:val="0"/>
          </w:rPr>
          <w:t xml:space="preserve">https://medium.com/@gwrx2005/classification-of-blockchain-transactions-across-chains-theory-methods-and-applications-09d309e78371</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Investigating the Determinants of NFT Purchase Intention: An Integrated Model Combining the Theory of Planned Behavior and Technology Acceptance Model | Request PDF - ResearchGate, accessed on April 16, 2026, </w:t>
      </w:r>
      <w:hyperlink r:id="rId24">
        <w:r w:rsidDel="00000000" w:rsidR="00000000" w:rsidRPr="00000000">
          <w:rPr>
            <w:rFonts w:ascii="Arial" w:cs="Arial" w:eastAsia="Arial" w:hAnsi="Arial"/>
            <w:color w:val="0000ee"/>
            <w:sz w:val="24"/>
            <w:szCs w:val="24"/>
            <w:u w:val="single"/>
            <w:rtl w:val="0"/>
          </w:rPr>
          <w:t xml:space="preserve">https://www.researchgate.net/publication/387834980_Investigating_the_Determinants_of_NFT_Purchase_Intention_An_Integrated_Model_Combining_the_Theory_of_Planned_Behavior_and_Technology_Acceptance_Model</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AI-Based Fraud Detection Using Deep Learning on Transaction Data - ResearchGate, accessed on April 16, 2026, </w:t>
      </w:r>
      <w:hyperlink r:id="rId25">
        <w:r w:rsidDel="00000000" w:rsidR="00000000" w:rsidRPr="00000000">
          <w:rPr>
            <w:rFonts w:ascii="Arial" w:cs="Arial" w:eastAsia="Arial" w:hAnsi="Arial"/>
            <w:color w:val="0000ee"/>
            <w:sz w:val="24"/>
            <w:szCs w:val="24"/>
            <w:u w:val="single"/>
            <w:rtl w:val="0"/>
          </w:rPr>
          <w:t xml:space="preserve">https://www.researchgate.net/publication/399259555_AI-Based_Fraud_Detection_Using_Deep_Learning_on_Transaction_Data</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News – QFRG – Quantitative Finance Research Group, accessed on April 16, 2026, </w:t>
      </w:r>
      <w:hyperlink r:id="rId26">
        <w:r w:rsidDel="00000000" w:rsidR="00000000" w:rsidRPr="00000000">
          <w:rPr>
            <w:rFonts w:ascii="Arial" w:cs="Arial" w:eastAsia="Arial" w:hAnsi="Arial"/>
            <w:color w:val="0000ee"/>
            <w:sz w:val="24"/>
            <w:szCs w:val="24"/>
            <w:u w:val="single"/>
            <w:rtl w:val="0"/>
          </w:rPr>
          <w:t xml:space="preserve">http://qfrg.wne.uw.edu.pl/?page_id=162</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GAM-CoT Transformer: Hierarchical Attention Networks for Anomaly Detection in Blockchain Transactions - ResearchGate, accessed on April 16, 2026, </w:t>
      </w:r>
      <w:hyperlink r:id="rId27">
        <w:r w:rsidDel="00000000" w:rsidR="00000000" w:rsidRPr="00000000">
          <w:rPr>
            <w:rFonts w:ascii="Arial" w:cs="Arial" w:eastAsia="Arial" w:hAnsi="Arial"/>
            <w:color w:val="0000ee"/>
            <w:sz w:val="24"/>
            <w:szCs w:val="24"/>
            <w:u w:val="single"/>
            <w:rtl w:val="0"/>
          </w:rPr>
          <w:t xml:space="preserve">https://www.researchgate.net/publication/398702419_GAM-CoT_Transformer_Hierarchical_Attention_Networks_for_Anomaly_Detection_in_Blockchain_Transactions</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QFRG and DSLab – monthly meetings – QFRG – Quantitative Finance Research Group, accessed on April 16, 2026, </w:t>
      </w:r>
      <w:hyperlink r:id="rId28">
        <w:r w:rsidDel="00000000" w:rsidR="00000000" w:rsidRPr="00000000">
          <w:rPr>
            <w:rFonts w:ascii="Arial" w:cs="Arial" w:eastAsia="Arial" w:hAnsi="Arial"/>
            <w:color w:val="0000ee"/>
            <w:sz w:val="24"/>
            <w:szCs w:val="24"/>
            <w:u w:val="single"/>
            <w:rtl w:val="0"/>
          </w:rPr>
          <w:t xml:space="preserve">http://qfrg.wne.uw.edu.pl/?p=1102</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IMMUTABLE AUDIT TRAILS USING BLOCKCHAIN FOR AI- DRIVEN FINANCIAL FRAUD INVESTIGATIONS - ResearchGate, accessed on April 16, 2026, </w:t>
      </w:r>
      <w:hyperlink r:id="rId29">
        <w:r w:rsidDel="00000000" w:rsidR="00000000" w:rsidRPr="00000000">
          <w:rPr>
            <w:rFonts w:ascii="Arial" w:cs="Arial" w:eastAsia="Arial" w:hAnsi="Arial"/>
            <w:color w:val="0000ee"/>
            <w:sz w:val="24"/>
            <w:szCs w:val="24"/>
            <w:u w:val="single"/>
            <w:rtl w:val="0"/>
          </w:rPr>
          <w:t xml:space="preserve">https://www.researchgate.net/publication/399466376_IMMUTABLE_AUDIT_TRAILS_USING_BLOCKCHAIN_FOR_AI-_DRIVEN_FINANCIAL_FRAUD_INVESTIGATIONS</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accessed on April 16, 2026, </w:t>
      </w:r>
      <w:hyperlink r:id="rId30">
        <w:r w:rsidDel="00000000" w:rsidR="00000000" w:rsidRPr="00000000">
          <w:rPr>
            <w:rFonts w:ascii="Arial" w:cs="Arial" w:eastAsia="Arial" w:hAnsi="Arial"/>
            <w:color w:val="0000ee"/>
            <w:sz w:val="24"/>
            <w:szCs w:val="24"/>
            <w:u w:val="single"/>
            <w:rtl w:val="0"/>
          </w:rPr>
          <w:t xml:space="preserve">https://committees.parliament.uk/writtenevidence/140288/default/</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Sequential Multi-Stage Approach for Code Vulnerability Detection via Confidence- and Collaboration-based Decision Making - ACL Anthology, accessed on April 16, 2026, </w:t>
      </w:r>
      <w:hyperlink r:id="rId31">
        <w:r w:rsidDel="00000000" w:rsidR="00000000" w:rsidRPr="00000000">
          <w:rPr>
            <w:rFonts w:ascii="Arial" w:cs="Arial" w:eastAsia="Arial" w:hAnsi="Arial"/>
            <w:color w:val="0000ee"/>
            <w:sz w:val="24"/>
            <w:szCs w:val="24"/>
            <w:u w:val="single"/>
            <w:rtl w:val="0"/>
          </w:rPr>
          <w:t xml:space="preserve">https://aclanthology.org/2025.emnlp-main.1071.pdf</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Modern Approaches to Software Vulnerability Detection: A Survey of Machine Learning, Deep Learning, and Large Language Models - MDPI, accessed on April 16, 2026, </w:t>
      </w:r>
      <w:hyperlink r:id="rId32">
        <w:r w:rsidDel="00000000" w:rsidR="00000000" w:rsidRPr="00000000">
          <w:rPr>
            <w:rFonts w:ascii="Arial" w:cs="Arial" w:eastAsia="Arial" w:hAnsi="Arial"/>
            <w:color w:val="0000ee"/>
            <w:sz w:val="24"/>
            <w:szCs w:val="24"/>
            <w:u w:val="single"/>
            <w:rtl w:val="0"/>
          </w:rPr>
          <w:t xml:space="preserve">https://www.mdpi.com/2079-9292/14/22/4449</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LLMs in Code Vulnerability Analysis: A Proof of Concept - arXiv, accessed on April 16, 2026, </w:t>
      </w:r>
      <w:hyperlink r:id="rId33">
        <w:r w:rsidDel="00000000" w:rsidR="00000000" w:rsidRPr="00000000">
          <w:rPr>
            <w:rFonts w:ascii="Arial" w:cs="Arial" w:eastAsia="Arial" w:hAnsi="Arial"/>
            <w:color w:val="0000ee"/>
            <w:sz w:val="24"/>
            <w:szCs w:val="24"/>
            <w:u w:val="single"/>
            <w:rtl w:val="0"/>
          </w:rPr>
          <w:t xml:space="preserve">https://arxiv.org/html/2601.08691v1</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Harnessing Large Language Models for Software Vulnerability Detection: A Comprehensive Benchmarking Study - IEEE Xplore, accessed on April 16, 2026, </w:t>
      </w:r>
      <w:hyperlink r:id="rId34">
        <w:r w:rsidDel="00000000" w:rsidR="00000000" w:rsidRPr="00000000">
          <w:rPr>
            <w:rFonts w:ascii="Arial" w:cs="Arial" w:eastAsia="Arial" w:hAnsi="Arial"/>
            <w:color w:val="0000ee"/>
            <w:sz w:val="24"/>
            <w:szCs w:val="24"/>
            <w:u w:val="single"/>
            <w:rtl w:val="0"/>
          </w:rPr>
          <w:t xml:space="preserve">https://ieeexplore.ieee.org/iel8/6287639/10820123/10879492.pdf</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Automated Vulnerability Discovery: Past, Present and Future — Where Are the Limits of AI?, accessed on April 16, 2026, </w:t>
      </w:r>
      <w:hyperlink r:id="rId35">
        <w:r w:rsidDel="00000000" w:rsidR="00000000" w:rsidRPr="00000000">
          <w:rPr>
            <w:rFonts w:ascii="Arial" w:cs="Arial" w:eastAsia="Arial" w:hAnsi="Arial"/>
            <w:color w:val="0000ee"/>
            <w:sz w:val="24"/>
            <w:szCs w:val="24"/>
            <w:u w:val="single"/>
            <w:rtl w:val="0"/>
          </w:rPr>
          <w:t xml:space="preserve">https://atum.li/en/blog/ai-vuln-discovery-evolution/</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Awesome Large Language Models for Vulnerability Detection - GitHub, accessed on April 16, 2026, </w:t>
      </w:r>
      <w:hyperlink r:id="rId36">
        <w:r w:rsidDel="00000000" w:rsidR="00000000" w:rsidRPr="00000000">
          <w:rPr>
            <w:rFonts w:ascii="Arial" w:cs="Arial" w:eastAsia="Arial" w:hAnsi="Arial"/>
            <w:color w:val="0000ee"/>
            <w:sz w:val="24"/>
            <w:szCs w:val="24"/>
            <w:u w:val="single"/>
            <w:rtl w:val="0"/>
          </w:rPr>
          <w:t xml:space="preserve">https://github.com/huhusmang/Awesome-LLMs-for-Vulnerability-Detection</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Transformer-Based Models for Code Vulnerability Detection - kth .diva, accessed on April 16, 2026, </w:t>
      </w:r>
      <w:hyperlink r:id="rId37">
        <w:r w:rsidDel="00000000" w:rsidR="00000000" w:rsidRPr="00000000">
          <w:rPr>
            <w:rFonts w:ascii="Arial" w:cs="Arial" w:eastAsia="Arial" w:hAnsi="Arial"/>
            <w:color w:val="0000ee"/>
            <w:sz w:val="24"/>
            <w:szCs w:val="24"/>
            <w:u w:val="single"/>
            <w:rtl w:val="0"/>
          </w:rPr>
          <w:t xml:space="preserve">https://kth.diva-portal.org/smash/get/diva2:1913446/FULLTEXT01.pdf</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VyetGokyra/awaresome_LLM_eval_benchmark: 250 LLM Benchmarks &amp; Evaluation Datasets - GitHub, accessed on April 16, 2026, </w:t>
      </w:r>
      <w:hyperlink r:id="rId38">
        <w:r w:rsidDel="00000000" w:rsidR="00000000" w:rsidRPr="00000000">
          <w:rPr>
            <w:rFonts w:ascii="Arial" w:cs="Arial" w:eastAsia="Arial" w:hAnsi="Arial"/>
            <w:color w:val="0000ee"/>
            <w:sz w:val="24"/>
            <w:szCs w:val="24"/>
            <w:u w:val="single"/>
            <w:rtl w:val="0"/>
          </w:rPr>
          <w:t xml:space="preserve">https://github.com/VyetGokyra/awaresome_LLM_eval_benchmark</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Benchmarking Dataset for Static Code Analyzers and LLMs towards CWE Detection - arXiv, accessed on April 16, 2026, </w:t>
      </w:r>
      <w:hyperlink r:id="rId39">
        <w:r w:rsidDel="00000000" w:rsidR="00000000" w:rsidRPr="00000000">
          <w:rPr>
            <w:rFonts w:ascii="Arial" w:cs="Arial" w:eastAsia="Arial" w:hAnsi="Arial"/>
            <w:color w:val="0000ee"/>
            <w:sz w:val="24"/>
            <w:szCs w:val="24"/>
            <w:u w:val="single"/>
            <w:rtl w:val="0"/>
          </w:rPr>
          <w:t xml:space="preserve">https://arxiv.org/html/2503.09433v1</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Benchmarking LLMs in Security: A Comparative Review of Five Open-Source MCQ Datasets, accessed on April 16, 2026, </w:t>
      </w:r>
      <w:hyperlink r:id="rId40">
        <w:r w:rsidDel="00000000" w:rsidR="00000000" w:rsidRPr="00000000">
          <w:rPr>
            <w:rFonts w:ascii="Arial" w:cs="Arial" w:eastAsia="Arial" w:hAnsi="Arial"/>
            <w:color w:val="0000ee"/>
            <w:sz w:val="24"/>
            <w:szCs w:val="24"/>
            <w:u w:val="single"/>
            <w:rtl w:val="0"/>
          </w:rPr>
          <w:t xml:space="preserve">https://medium.com/@tkadeethum/benchmarking-llms-in-security-a-comparative-review-of-five-open-source-mcq-datasets-ea36517c9db0</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LLMSEC 2025 | Special Interest Group in NLP Security - ACL SIGSEC, accessed on April 16, 2026, </w:t>
      </w:r>
      <w:hyperlink r:id="rId41">
        <w:r w:rsidDel="00000000" w:rsidR="00000000" w:rsidRPr="00000000">
          <w:rPr>
            <w:rFonts w:ascii="Arial" w:cs="Arial" w:eastAsia="Arial" w:hAnsi="Arial"/>
            <w:color w:val="0000ee"/>
            <w:sz w:val="24"/>
            <w:szCs w:val="24"/>
            <w:u w:val="single"/>
            <w:rtl w:val="0"/>
          </w:rPr>
          <w:t xml:space="preserve">https://sig.llmsecurity.net/workshop/</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CyberLLM-FINDS 2025: Instruction-Tuned Fine-tuning of Domain-Specific LLMs with Retrieval-Augmented Generation and Graph Integration for MITRE Evaluation - arXiv, accessed on April 16, 2026, </w:t>
      </w:r>
      <w:hyperlink r:id="rId42">
        <w:r w:rsidDel="00000000" w:rsidR="00000000" w:rsidRPr="00000000">
          <w:rPr>
            <w:rFonts w:ascii="Arial" w:cs="Arial" w:eastAsia="Arial" w:hAnsi="Arial"/>
            <w:color w:val="0000ee"/>
            <w:sz w:val="24"/>
            <w:szCs w:val="24"/>
            <w:u w:val="single"/>
            <w:rtl w:val="0"/>
          </w:rPr>
          <w:t xml:space="preserve">https://arxiv.org/html/2601.06779v1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tkadeethum/benchmarking-llms-in-security-a-comparative-review-of-five-open-source-mcq-datasets-ea36517c9db0" TargetMode="External"/><Relationship Id="rId20" Type="http://schemas.openxmlformats.org/officeDocument/2006/relationships/hyperlink" Target="https://pdfs.semanticscholar.org/6bb1/603ae745807d547e512b12e16c43fbd19d2b.pdf" TargetMode="External"/><Relationship Id="rId42" Type="http://schemas.openxmlformats.org/officeDocument/2006/relationships/hyperlink" Target="https://arxiv.org/html/2601.06779v1" TargetMode="External"/><Relationship Id="rId41" Type="http://schemas.openxmlformats.org/officeDocument/2006/relationships/hyperlink" Target="https://sig.llmsecurity.net/workshop/" TargetMode="External"/><Relationship Id="rId22" Type="http://schemas.openxmlformats.org/officeDocument/2006/relationships/hyperlink" Target="https://ieeexplore.ieee.org/document/10844493/" TargetMode="External"/><Relationship Id="rId21" Type="http://schemas.openxmlformats.org/officeDocument/2006/relationships/hyperlink" Target="https://arxiv.org/html/2509.10542v1" TargetMode="External"/><Relationship Id="rId24" Type="http://schemas.openxmlformats.org/officeDocument/2006/relationships/hyperlink" Target="https://www.researchgate.net/publication/387834980_Investigating_the_Determinants_of_NFT_Purchase_Intention_An_Integrated_Model_Combining_the_Theory_of_Planned_Behavior_and_Technology_Acceptance_Model" TargetMode="External"/><Relationship Id="rId23" Type="http://schemas.openxmlformats.org/officeDocument/2006/relationships/hyperlink" Target="https://medium.com/@gwrx2005/classification-of-blockchain-transactions-across-chains-theory-methods-and-applications-09d309e7837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303227205_Loss_Functions_in_Financial_SectorAn_Overview" TargetMode="External"/><Relationship Id="rId26" Type="http://schemas.openxmlformats.org/officeDocument/2006/relationships/hyperlink" Target="http://qfrg.wne.uw.edu.pl/?page_id=162" TargetMode="External"/><Relationship Id="rId25" Type="http://schemas.openxmlformats.org/officeDocument/2006/relationships/hyperlink" Target="https://www.researchgate.net/publication/399259555_AI-Based_Fraud_Detection_Using_Deep_Learning_on_Transaction_Data" TargetMode="External"/><Relationship Id="rId28" Type="http://schemas.openxmlformats.org/officeDocument/2006/relationships/hyperlink" Target="http://qfrg.wne.uw.edu.pl/?p=1102" TargetMode="External"/><Relationship Id="rId27" Type="http://schemas.openxmlformats.org/officeDocument/2006/relationships/hyperlink" Target="https://www.researchgate.net/publication/398702419_GAM-CoT_Transformer_Hierarchical_Attention_Networks_for_Anomaly_Detection_in_Blockchain_Transactions" TargetMode="External"/><Relationship Id="rId5" Type="http://schemas.openxmlformats.org/officeDocument/2006/relationships/styles" Target="styles.xml"/><Relationship Id="rId6" Type="http://schemas.openxmlformats.org/officeDocument/2006/relationships/hyperlink" Target="https://ieeexplore.ieee.org/iel8/6287639/10820123/11206330.pdf" TargetMode="External"/><Relationship Id="rId29" Type="http://schemas.openxmlformats.org/officeDocument/2006/relationships/hyperlink" Target="https://www.researchgate.net/publication/399466376_IMMUTABLE_AUDIT_TRAILS_USING_BLOCKCHAIN_FOR_AI-_DRIVEN_FINANCIAL_FRAUD_INVESTIGATIONS" TargetMode="External"/><Relationship Id="rId7" Type="http://schemas.openxmlformats.org/officeDocument/2006/relationships/hyperlink" Target="https://www.mdpi.com/2673-2688/6/11/295" TargetMode="External"/><Relationship Id="rId8" Type="http://schemas.openxmlformats.org/officeDocument/2006/relationships/hyperlink" Target="https://www.mdpi.com/2079-8954/13/6/474" TargetMode="External"/><Relationship Id="rId31" Type="http://schemas.openxmlformats.org/officeDocument/2006/relationships/hyperlink" Target="https://aclanthology.org/2025.emnlp-main.1071.pdf" TargetMode="External"/><Relationship Id="rId30" Type="http://schemas.openxmlformats.org/officeDocument/2006/relationships/hyperlink" Target="https://committees.parliament.uk/writtenevidence/140288/default/" TargetMode="External"/><Relationship Id="rId11" Type="http://schemas.openxmlformats.org/officeDocument/2006/relationships/hyperlink" Target="https://al-kindipublishers.org/index.php/jefas/article/download/12353/11045/33362" TargetMode="External"/><Relationship Id="rId33" Type="http://schemas.openxmlformats.org/officeDocument/2006/relationships/hyperlink" Target="https://arxiv.org/html/2601.08691v1" TargetMode="External"/><Relationship Id="rId10" Type="http://schemas.openxmlformats.org/officeDocument/2006/relationships/hyperlink" Target="https://arxiv.org/html/2601.04608v1" TargetMode="External"/><Relationship Id="rId32" Type="http://schemas.openxmlformats.org/officeDocument/2006/relationships/hyperlink" Target="https://www.mdpi.com/2079-9292/14/22/4449" TargetMode="External"/><Relationship Id="rId13" Type="http://schemas.openxmlformats.org/officeDocument/2006/relationships/hyperlink" Target="https://www.mdpi.com/2624-831X/6/3/37" TargetMode="External"/><Relationship Id="rId35" Type="http://schemas.openxmlformats.org/officeDocument/2006/relationships/hyperlink" Target="https://atum.li/en/blog/ai-vuln-discovery-evolution/" TargetMode="External"/><Relationship Id="rId12" Type="http://schemas.openxmlformats.org/officeDocument/2006/relationships/hyperlink" Target="https://journal.pandawan.id/b-front/article/download/1031/718" TargetMode="External"/><Relationship Id="rId34" Type="http://schemas.openxmlformats.org/officeDocument/2006/relationships/hyperlink" Target="https://ieeexplore.ieee.org/iel8/6287639/10820123/10879492.pdf" TargetMode="External"/><Relationship Id="rId15" Type="http://schemas.openxmlformats.org/officeDocument/2006/relationships/hyperlink" Target="https://seclab.skku.edu/wp-content/uploads/2025/12/PRDC_AID_136_2025.pdf" TargetMode="External"/><Relationship Id="rId37" Type="http://schemas.openxmlformats.org/officeDocument/2006/relationships/hyperlink" Target="https://kth.diva-portal.org/smash/get/diva2:1913446/FULLTEXT01.pdf" TargetMode="External"/><Relationship Id="rId14" Type="http://schemas.openxmlformats.org/officeDocument/2006/relationships/hyperlink" Target="https://ieeexplore.ieee.org/document/10859408/" TargetMode="External"/><Relationship Id="rId36" Type="http://schemas.openxmlformats.org/officeDocument/2006/relationships/hyperlink" Target="https://github.com/huhusmang/Awesome-LLMs-for-Vulnerability-Detection" TargetMode="External"/><Relationship Id="rId17" Type="http://schemas.openxmlformats.org/officeDocument/2006/relationships/hyperlink" Target="https://blogs.cisco.com/security/fine-tuning-llms-breaks-their-safety-and-security-alignment" TargetMode="External"/><Relationship Id="rId39" Type="http://schemas.openxmlformats.org/officeDocument/2006/relationships/hyperlink" Target="https://arxiv.org/html/2503.09433v1" TargetMode="External"/><Relationship Id="rId16" Type="http://schemas.openxmlformats.org/officeDocument/2006/relationships/hyperlink" Target="https://www.emergentmind.com/topics/code-security-benchmarking" TargetMode="External"/><Relationship Id="rId38" Type="http://schemas.openxmlformats.org/officeDocument/2006/relationships/hyperlink" Target="https://github.com/VyetGokyra/awaresome_LLM_eval_benchmark" TargetMode="External"/><Relationship Id="rId19" Type="http://schemas.openxmlformats.org/officeDocument/2006/relationships/hyperlink" Target="https://arxiv.org/html/2409.02139v1" TargetMode="External"/><Relationship Id="rId18" Type="http://schemas.openxmlformats.org/officeDocument/2006/relationships/hyperlink" Target="https://www.researchgate.net/publication/393125827_Cryptocurrency_Volatility_Forecasting_Using_Transformer-Based_Deep_Learning_Models_and_On-Chain_Metr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