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pPr>
      <w:r>
        <w:rPr>
          <w:rFonts w:ascii="Calibri" w:cs="Calibri" w:eastAsia="Calibri" w:hAnsi="Calibri"/>
          <w:b/>
          <w:bCs/>
          <w:color w:val="2E6E7E"/>
          <w:spacing w:val="60"/>
          <w:sz w:val="26"/>
          <w:szCs w:val="26"/>
        </w:rPr>
        <w:t xml:space="preserve">PROPOSAL</w:t>
      </w:r>
    </w:p>
    <w:p>
      <w:pPr>
        <w:spacing w:after="60"/>
      </w:pPr>
      <w:r>
        <w:rPr>
          <w:rFonts w:ascii="Calibri" w:cs="Calibri" w:eastAsia="Calibri" w:hAnsi="Calibri"/>
          <w:b/>
          <w:bCs/>
          <w:color w:val="1F3A4D"/>
          <w:sz w:val="52"/>
          <w:szCs w:val="52"/>
        </w:rPr>
        <w:t xml:space="preserve">Automated Management Accounts</w:t>
      </w:r>
    </w:p>
    <w:p>
      <w:pPr>
        <w:spacing w:after="200"/>
      </w:pPr>
      <w:r>
        <w:rPr>
          <w:rFonts w:ascii="Calibri" w:cs="Calibri" w:eastAsia="Calibri" w:hAnsi="Calibri"/>
          <w:b/>
          <w:bCs/>
          <w:color w:val="1F3A4D"/>
          <w:sz w:val="36"/>
          <w:szCs w:val="36"/>
        </w:rPr>
        <w:t xml:space="preserve">from Xero, to your inbox — on autopilot</w:t>
      </w:r>
    </w:p>
    <w:p>
      <w:pPr>
        <w:pBdr>
          <w:bottom w:val="single" w:color="C9BFA8" w:sz="12" w:space="8"/>
        </w:pBdr>
        <w:spacing w:after="240"/>
      </w:pPr>
    </w:p>
    <w:p>
      <w:pPr>
        <w:spacing w:after="60" w:line="276"/>
      </w:pPr>
      <w:r>
        <w:rPr>
          <w:rFonts w:ascii="Calibri" w:cs="Calibri" w:eastAsia="Calibri" w:hAnsi="Calibri"/>
          <w:b/>
          <w:bCs/>
          <w:color w:val="1F3A4D"/>
          <w:sz w:val="21"/>
          <w:szCs w:val="21"/>
        </w:rPr>
        <w:t xml:space="preserve">Prepared for  </w:t>
      </w:r>
      <w:r>
        <w:rPr>
          <w:rFonts w:ascii="Calibri" w:cs="Calibri" w:eastAsia="Calibri" w:hAnsi="Calibri"/>
          <w:color w:val="222222"/>
          <w:sz w:val="21"/>
          <w:szCs w:val="21"/>
        </w:rPr>
        <w:t xml:space="preserve">Mara &amp; Jonah, Founders — Thread &amp; Salt</w:t>
      </w:r>
    </w:p>
    <w:p>
      <w:pPr>
        <w:spacing w:after="60" w:line="276"/>
      </w:pPr>
      <w:r>
        <w:rPr>
          <w:rFonts w:ascii="Calibri" w:cs="Calibri" w:eastAsia="Calibri" w:hAnsi="Calibri"/>
          <w:b/>
          <w:bCs/>
          <w:color w:val="1F3A4D"/>
          <w:sz w:val="21"/>
          <w:szCs w:val="21"/>
        </w:rPr>
        <w:t xml:space="preserve">Prepared by    </w:t>
      </w:r>
      <w:r>
        <w:rPr>
          <w:rFonts w:ascii="Calibri" w:cs="Calibri" w:eastAsia="Calibri" w:hAnsi="Calibri"/>
          <w:color w:val="222222"/>
          <w:sz w:val="21"/>
          <w:szCs w:val="21"/>
        </w:rPr>
        <w:t xml:space="preserve">Shyam Jagani, Negative Zero</w:t>
      </w:r>
    </w:p>
    <w:p>
      <w:pPr>
        <w:spacing w:after="60" w:line="276"/>
      </w:pPr>
      <w:r>
        <w:rPr>
          <w:rFonts w:ascii="Calibri" w:cs="Calibri" w:eastAsia="Calibri" w:hAnsi="Calibri"/>
          <w:b/>
          <w:bCs/>
          <w:color w:val="1F3A4D"/>
          <w:sz w:val="21"/>
          <w:szCs w:val="21"/>
        </w:rPr>
        <w:t xml:space="preserve">Date               </w:t>
      </w:r>
      <w:r>
        <w:rPr>
          <w:rFonts w:ascii="Calibri" w:cs="Calibri" w:eastAsia="Calibri" w:hAnsi="Calibri"/>
          <w:color w:val="222222"/>
          <w:sz w:val="21"/>
          <w:szCs w:val="21"/>
        </w:rPr>
        <w:t xml:space="preserve">22 July 2026</w:t>
      </w:r>
    </w:p>
    <w:p>
      <w:pPr>
        <w:spacing w:after="240" w:line="276"/>
      </w:pPr>
      <w:r>
        <w:rPr>
          <w:rFonts w:ascii="Calibri" w:cs="Calibri" w:eastAsia="Calibri" w:hAnsi="Calibri"/>
          <w:b/>
          <w:bCs/>
          <w:color w:val="1F3A4D"/>
          <w:sz w:val="21"/>
          <w:szCs w:val="21"/>
        </w:rPr>
        <w:t xml:space="preserve">Reference       </w:t>
      </w:r>
      <w:r>
        <w:rPr>
          <w:rFonts w:ascii="Calibri" w:cs="Calibri" w:eastAsia="Calibri" w:hAnsi="Calibri"/>
          <w:color w:val="222222"/>
          <w:sz w:val="21"/>
          <w:szCs w:val="21"/>
        </w:rPr>
        <w:t xml:space="preserve">TS-2026-07 (final) · Valid for 30 days</w:t>
      </w:r>
    </w:p>
    <w:tbl>
      <w:tblPr>
        <w:tblW w:type="dxa" w:w="9360"/>
        <w:tblBorders>
          <w:top w:val="single" w:color="2E6E7E" w:sz="6"/>
          <w:left w:val="single" w:color="2E6E7E" w:sz="6"/>
          <w:bottom w:val="single" w:color="2E6E7E" w:sz="6"/>
          <w:right w:val="single" w:color="2E6E7E" w:sz="6"/>
          <w:insideH w:val="none"/>
          <w:insideV w:val="none"/>
        </w:tblBorders>
      </w:tblPr>
      <w:tblGrid>
        <w:gridCol w:w="9360"/>
      </w:tblGrid>
      <w:tr>
        <w:tc>
          <w:tcPr>
            <w:tcW w:type="dxa" w:w="9360"/>
            <w:shd w:fill="F1ECE2" w:color="auto" w:val="clear"/>
            <w:tcMar>
              <w:top w:type="dxa" w:w="200"/>
              <w:left w:type="dxa" w:w="240"/>
              <w:bottom w:type="dxa" w:w="200"/>
              <w:right w:type="dxa" w:w="240"/>
            </w:tcMar>
          </w:tcPr>
          <w:p>
            <w:pPr>
              <w:spacing w:after="80"/>
            </w:pPr>
            <w:r>
              <w:rPr>
                <w:rFonts w:ascii="Calibri" w:cs="Calibri" w:eastAsia="Calibri" w:hAnsi="Calibri"/>
                <w:b/>
                <w:bCs/>
                <w:color w:val="2E6E7E"/>
                <w:sz w:val="20"/>
                <w:szCs w:val="20"/>
              </w:rPr>
              <w:t xml:space="preserve">In one line</w:t>
            </w:r>
          </w:p>
          <w:p>
            <w:r>
              <w:rPr>
                <w:rFonts w:ascii="Calibri" w:cs="Calibri" w:eastAsia="Calibri" w:hAnsi="Calibri"/>
                <w:color w:val="1F3A4D"/>
                <w:sz w:val="22"/>
                <w:szCs w:val="22"/>
              </w:rPr>
              <w:t xml:space="preserve">Management accounts that write themselves — pulled straight from your Xero account and delivered to your inbox and your shared drive on a weekly, monthly, quarterly, half-year and annual rhythm. We build this Core now; a proactive sales-insight agent is a ready-made upgrade you can switch on whenever you like. You own it outright, and neither of you has to remember, log in, or press a button.</w:t>
            </w:r>
          </w:p>
        </w:tc>
      </w:tr>
    </w:tbl>
    <w:p>
      <w:r>
        <w:br w:type="page"/>
      </w:r>
    </w:p>
    <w:p>
      <w:pPr>
        <w:pStyle w:val="Heading1"/>
        <w:pBdr>
          <w:bottom w:val="single" w:color="C9BFA8" w:sz="8" w:space="6"/>
        </w:pBdr>
        <w:spacing w:after="120" w:before="320"/>
      </w:pPr>
      <w:r>
        <w:rPr>
          <w:rFonts w:ascii="Calibri" w:cs="Calibri" w:eastAsia="Calibri" w:hAnsi="Calibri"/>
          <w:b/>
          <w:bCs/>
          <w:color w:val="1F3A4D"/>
          <w:sz w:val="30"/>
          <w:szCs w:val="30"/>
        </w:rPr>
        <w:t xml:space="preserve">1.  Executive summary</w:t>
      </w:r>
    </w:p>
    <w:p>
      <w:pPr>
        <w:spacing w:after="120" w:line="276"/>
      </w:pPr>
      <w:r>
        <w:rPr>
          <w:rFonts w:ascii="Calibri" w:cs="Calibri" w:eastAsia="Calibri" w:hAnsi="Calibri"/>
          <w:color w:val="222222"/>
          <w:sz w:val="21"/>
          <w:szCs w:val="21"/>
        </w:rPr>
        <w:t xml:space="preserve">Thread &amp; Salt is a healthy, growing business — but the numbers that would tell you that are locked away. The books live in Xero, and management reporting only happens when one of you remembers, which by your own account is rarely. The result is a profitable company run largely on instinct, with no regular, readable view of how it is actually doing.</w:t>
      </w:r>
    </w:p>
    <w:p>
      <w:pPr>
        <w:spacing w:after="120" w:line="276"/>
      </w:pPr>
      <w:r>
        <w:rPr>
          <w:rFonts w:ascii="Calibri" w:cs="Calibri" w:eastAsia="Calibri" w:hAnsi="Calibri"/>
          <w:color w:val="222222"/>
          <w:sz w:val="21"/>
          <w:szCs w:val="21"/>
        </w:rPr>
        <w:t xml:space="preserve">This proposal solves that with the </w:t>
      </w:r>
      <w:r>
        <w:rPr>
          <w:rFonts w:ascii="Calibri" w:cs="Calibri" w:eastAsia="Calibri" w:hAnsi="Calibri"/>
          <w:b/>
          <w:bCs/>
          <w:color w:val="1F3A4D"/>
          <w:sz w:val="21"/>
          <w:szCs w:val="21"/>
        </w:rPr>
        <w:t xml:space="preserve">Core</w:t>
      </w:r>
      <w:r>
        <w:rPr>
          <w:rFonts w:ascii="Calibri" w:cs="Calibri" w:eastAsia="Calibri" w:hAnsi="Calibri"/>
          <w:color w:val="222222"/>
          <w:sz w:val="21"/>
          <w:szCs w:val="21"/>
        </w:rPr>
        <w:t xml:space="preserve">: we connect directly to your Xero account, build one polished management-accounts report from your real figures, get your sign-off, then set it to run itself on a weekly, monthly, quarterly, half-year and annual rhythm — each report emailed to you and filed in your shared drive automatically. That is the whole thing you are buying today.</w:t>
      </w:r>
    </w:p>
    <w:p>
      <w:pPr>
        <w:spacing w:after="120" w:line="276"/>
      </w:pPr>
      <w:r>
        <w:rPr>
          <w:rFonts w:ascii="Calibri" w:cs="Calibri" w:eastAsia="Calibri" w:hAnsi="Calibri"/>
          <w:color w:val="222222"/>
          <w:sz w:val="21"/>
          <w:szCs w:val="21"/>
        </w:rPr>
        <w:t xml:space="preserve">When you are ready to look forward as well as back, there is a single </w:t>
      </w:r>
      <w:r>
        <w:rPr>
          <w:rFonts w:ascii="Calibri" w:cs="Calibri" w:eastAsia="Calibri" w:hAnsi="Calibri"/>
          <w:b/>
          <w:bCs/>
          <w:color w:val="1F3A4D"/>
          <w:sz w:val="21"/>
          <w:szCs w:val="21"/>
        </w:rPr>
        <w:t xml:space="preserve">optional upgrade</w:t>
      </w:r>
      <w:r>
        <w:rPr>
          <w:rFonts w:ascii="Calibri" w:cs="Calibri" w:eastAsia="Calibri" w:hAnsi="Calibri"/>
          <w:color w:val="222222"/>
          <w:sz w:val="21"/>
          <w:szCs w:val="21"/>
        </w:rPr>
        <w:t xml:space="preserve"> — a proactive agent that reads each new period, spots trends and at-risk lines, and tells you when to restock, discount or promote before you would have thought to look. You can switch it on now or months from now; nothing about the Core needs to change.</w:t>
      </w:r>
    </w:p>
    <w:p>
      <w:pPr>
        <w:spacing w:after="120" w:line="276"/>
      </w:pPr>
      <w:r>
        <w:rPr>
          <w:rFonts w:ascii="Calibri" w:cs="Calibri" w:eastAsia="Calibri" w:hAnsi="Calibri"/>
          <w:color w:val="222222"/>
          <w:sz w:val="21"/>
          <w:szCs w:val="21"/>
        </w:rPr>
        <w:t xml:space="preserve">The build runs for around three weeks, with a working report in your hands inside the first week. After that </w:t>
      </w:r>
      <w:r>
        <w:rPr>
          <w:rFonts w:ascii="Calibri" w:cs="Calibri" w:eastAsia="Calibri" w:hAnsi="Calibri"/>
          <w:b/>
          <w:bCs/>
          <w:color w:val="1F3A4D"/>
          <w:sz w:val="21"/>
          <w:szCs w:val="21"/>
        </w:rPr>
        <w:t xml:space="preserve">you own and run it yourselves</w:t>
      </w:r>
      <w:r>
        <w:rPr>
          <w:rFonts w:ascii="Calibri" w:cs="Calibri" w:eastAsia="Calibri" w:hAnsi="Calibri"/>
          <w:color w:val="222222"/>
          <w:sz w:val="21"/>
          <w:szCs w:val="21"/>
        </w:rPr>
        <w:t xml:space="preserve"> — it lives under your own Claude account, so the only ongoing cost is a modest subscription (Section 7) and there is no monthly fee to us. The Core is </w:t>
      </w:r>
      <w:r>
        <w:rPr>
          <w:rFonts w:ascii="Calibri" w:cs="Calibri" w:eastAsia="Calibri" w:hAnsi="Calibri"/>
          <w:b/>
          <w:bCs/>
          <w:color w:val="1F3A4D"/>
          <w:sz w:val="21"/>
          <w:szCs w:val="21"/>
        </w:rPr>
        <w:t xml:space="preserve">£3,200 fixed</w:t>
      </w:r>
      <w:r>
        <w:rPr>
          <w:rFonts w:ascii="Calibri" w:cs="Calibri" w:eastAsia="Calibri" w:hAnsi="Calibri"/>
          <w:color w:val="222222"/>
          <w:sz w:val="21"/>
          <w:szCs w:val="21"/>
        </w:rPr>
        <w:t xml:space="preserve">, inside the budget you set. Everything is built to be, in your words, dead simple to use: the report arrives on its own; you open it, you don't operate software.</w:t>
      </w:r>
    </w:p>
    <w:p>
      <w:pPr>
        <w:pStyle w:val="Heading1"/>
        <w:pBdr>
          <w:bottom w:val="single" w:color="C9BFA8" w:sz="8" w:space="6"/>
        </w:pBdr>
        <w:spacing w:after="120" w:before="320"/>
      </w:pPr>
      <w:r>
        <w:rPr>
          <w:rFonts w:ascii="Calibri" w:cs="Calibri" w:eastAsia="Calibri" w:hAnsi="Calibri"/>
          <w:b/>
          <w:bCs/>
          <w:color w:val="1F3A4D"/>
          <w:sz w:val="30"/>
          <w:szCs w:val="30"/>
        </w:rPr>
        <w:t xml:space="preserve">2.  What we heard from you</w:t>
      </w:r>
    </w:p>
    <w:p>
      <w:pPr>
        <w:spacing w:after="120" w:line="276"/>
      </w:pPr>
      <w:r>
        <w:rPr>
          <w:rFonts w:ascii="Calibri" w:cs="Calibri" w:eastAsia="Calibri" w:hAnsi="Calibri"/>
          <w:color w:val="222222"/>
          <w:sz w:val="21"/>
          <w:szCs w:val="21"/>
        </w:rPr>
        <w:t xml:space="preserve">From our calls, the picture is clear — and we want to reflect it back so you know we have it right:</w:t>
      </w:r>
    </w:p>
    <w:p>
      <w:pPr>
        <w:pStyle w:val="ListParagraph"/>
        <w:numPr>
          <w:ilvl w:val="0"/>
          <w:numId w:val="2"/>
        </w:numPr>
        <w:spacing w:after="60" w:line="272"/>
      </w:pPr>
      <w:r>
        <w:rPr>
          <w:rFonts w:ascii="Calibri" w:cs="Calibri" w:eastAsia="Calibri" w:hAnsi="Calibri"/>
          <w:b/>
          <w:bCs/>
          <w:color w:val="222222"/>
          <w:sz w:val="21"/>
          <w:szCs w:val="21"/>
        </w:rPr>
        <w:t xml:space="preserve">The pain that keeps you up. </w:t>
      </w:r>
      <w:r>
        <w:rPr>
          <w:rFonts w:ascii="Calibri" w:cs="Calibri" w:eastAsia="Calibri" w:hAnsi="Calibri"/>
          <w:color w:val="222222"/>
          <w:sz w:val="21"/>
          <w:szCs w:val="21"/>
        </w:rPr>
        <w:t xml:space="preserve">You want reliable management accounts — generated on a regular rhythm without either of you having to remember to produce them. That is the first thing to solve, and it is what the Core delivers.</w:t>
      </w:r>
    </w:p>
    <w:p>
      <w:pPr>
        <w:pStyle w:val="ListParagraph"/>
        <w:numPr>
          <w:ilvl w:val="0"/>
          <w:numId w:val="2"/>
        </w:numPr>
        <w:spacing w:after="60" w:line="272"/>
      </w:pPr>
      <w:r>
        <w:rPr>
          <w:rFonts w:ascii="Calibri" w:cs="Calibri" w:eastAsia="Calibri" w:hAnsi="Calibri"/>
          <w:b/>
          <w:bCs/>
          <w:color w:val="222222"/>
          <w:sz w:val="21"/>
          <w:szCs w:val="21"/>
        </w:rPr>
        <w:t xml:space="preserve">Xero holds the truth, but nobody looks. </w:t>
      </w:r>
      <w:r>
        <w:rPr>
          <w:rFonts w:ascii="Calibri" w:cs="Calibri" w:eastAsia="Calibri" w:hAnsi="Calibri"/>
          <w:color w:val="222222"/>
          <w:sz w:val="21"/>
          <w:szCs w:val="21"/>
        </w:rPr>
        <w:t xml:space="preserve">Your real financials already live in Xero; today they simply go unread. We connect to Xero directly and treat it as the single source of truth — cleaner, and it reconciles by definition.</w:t>
      </w:r>
    </w:p>
    <w:p>
      <w:pPr>
        <w:pStyle w:val="ListParagraph"/>
        <w:numPr>
          <w:ilvl w:val="0"/>
          <w:numId w:val="2"/>
        </w:numPr>
        <w:spacing w:after="60" w:line="272"/>
      </w:pPr>
      <w:r>
        <w:rPr>
          <w:rFonts w:ascii="Calibri" w:cs="Calibri" w:eastAsia="Calibri" w:hAnsi="Calibri"/>
          <w:b/>
          <w:bCs/>
          <w:color w:val="222222"/>
          <w:sz w:val="21"/>
          <w:szCs w:val="21"/>
        </w:rPr>
        <w:t xml:space="preserve">It has to be effortless. </w:t>
      </w:r>
      <w:r>
        <w:rPr>
          <w:rFonts w:ascii="Calibri" w:cs="Calibri" w:eastAsia="Calibri" w:hAnsi="Calibri"/>
          <w:color w:val="222222"/>
          <w:sz w:val="21"/>
          <w:szCs w:val="21"/>
        </w:rPr>
        <w:t xml:space="preserve">You are a two-person shop with no finance function. You will only use something if it is dead simple, so the finished thing must ask essentially nothing of you month to month. The report comes to you, not the other way round.</w:t>
      </w:r>
    </w:p>
    <w:p>
      <w:pPr>
        <w:pStyle w:val="ListParagraph"/>
        <w:numPr>
          <w:ilvl w:val="0"/>
          <w:numId w:val="2"/>
        </w:numPr>
        <w:spacing w:after="60" w:line="272"/>
      </w:pPr>
      <w:r>
        <w:rPr>
          <w:rFonts w:ascii="Calibri" w:cs="Calibri" w:eastAsia="Calibri" w:hAnsi="Calibri"/>
          <w:b/>
          <w:bCs/>
          <w:color w:val="222222"/>
          <w:sz w:val="21"/>
          <w:szCs w:val="21"/>
        </w:rPr>
        <w:t xml:space="preserve">You'd rather own and run it yourselves. </w:t>
      </w:r>
      <w:r>
        <w:rPr>
          <w:rFonts w:ascii="Calibri" w:cs="Calibri" w:eastAsia="Calibri" w:hAnsi="Calibri"/>
          <w:color w:val="222222"/>
          <w:sz w:val="21"/>
          <w:szCs w:val="21"/>
        </w:rPr>
        <w:t xml:space="preserve">You were clear you want to hold the reins — the whole thing sits under your own account, with no dependency on us to keep it alive. The proposal is built around exactly that.</w:t>
      </w:r>
    </w:p>
    <w:p>
      <w:pPr>
        <w:pStyle w:val="ListParagraph"/>
        <w:numPr>
          <w:ilvl w:val="0"/>
          <w:numId w:val="2"/>
        </w:numPr>
        <w:spacing w:after="60" w:line="272"/>
      </w:pPr>
      <w:r>
        <w:rPr>
          <w:rFonts w:ascii="Calibri" w:cs="Calibri" w:eastAsia="Calibri" w:hAnsi="Calibri"/>
          <w:b/>
          <w:bCs/>
          <w:color w:val="222222"/>
          <w:sz w:val="21"/>
          <w:szCs w:val="21"/>
        </w:rPr>
        <w:t xml:space="preserve">Budget is real and it is tight. </w:t>
      </w:r>
      <w:r>
        <w:rPr>
          <w:rFonts w:ascii="Calibri" w:cs="Calibri" w:eastAsia="Calibri" w:hAnsi="Calibri"/>
          <w:color w:val="222222"/>
          <w:sz w:val="21"/>
          <w:szCs w:val="21"/>
        </w:rPr>
        <w:t xml:space="preserve">You were candid that the number sits around £2,000–£5,000. Leading with the Core keeps the commitment at the lower end, with the upgrade there when you want it.</w:t>
      </w:r>
    </w:p>
    <w:p>
      <w:pPr>
        <w:pStyle w:val="ListParagraph"/>
        <w:numPr>
          <w:ilvl w:val="0"/>
          <w:numId w:val="2"/>
        </w:numPr>
        <w:spacing w:after="60" w:line="272"/>
      </w:pPr>
      <w:r>
        <w:rPr>
          <w:rFonts w:ascii="Calibri" w:cs="Calibri" w:eastAsia="Calibri" w:hAnsi="Calibri"/>
          <w:b/>
          <w:bCs/>
          <w:color w:val="222222"/>
          <w:sz w:val="21"/>
          <w:szCs w:val="21"/>
        </w:rPr>
        <w:t xml:space="preserve">You'd like it to look forward, not just back. </w:t>
      </w:r>
      <w:r>
        <w:rPr>
          <w:rFonts w:ascii="Calibri" w:cs="Calibri" w:eastAsia="Calibri" w:hAnsi="Calibri"/>
          <w:color w:val="222222"/>
          <w:sz w:val="21"/>
          <w:szCs w:val="21"/>
        </w:rPr>
        <w:t xml:space="preserve">Beyond reporting, you want something that actively helps sales. That is precisely the optional upgrade — kept separate so it never holds up the reporting you need first.</w:t>
      </w:r>
    </w:p>
    <w:p>
      <w:pPr>
        <w:pStyle w:val="Heading1"/>
        <w:pBdr>
          <w:bottom w:val="single" w:color="C9BFA8" w:sz="8" w:space="6"/>
        </w:pBdr>
        <w:spacing w:after="120" w:before="320"/>
      </w:pPr>
      <w:r>
        <w:rPr>
          <w:rFonts w:ascii="Calibri" w:cs="Calibri" w:eastAsia="Calibri" w:hAnsi="Calibri"/>
          <w:b/>
          <w:bCs/>
          <w:color w:val="1F3A4D"/>
          <w:sz w:val="30"/>
          <w:szCs w:val="30"/>
        </w:rPr>
        <w:t xml:space="preserve">3.  Scope of work — what we will deliver</w:t>
      </w:r>
    </w:p>
    <w:p>
      <w:pPr>
        <w:pStyle w:val="Heading2"/>
        <w:spacing w:after="80" w:before="200"/>
      </w:pPr>
      <w:r>
        <w:rPr>
          <w:rFonts w:ascii="Calibri" w:cs="Calibri" w:eastAsia="Calibri" w:hAnsi="Calibri"/>
          <w:b/>
          <w:bCs/>
          <w:color w:val="2E6E7E"/>
          <w:sz w:val="24"/>
          <w:szCs w:val="24"/>
        </w:rPr>
        <w:t xml:space="preserve">Core — Management accounts on autopilot  (this engagement)</w:t>
      </w:r>
    </w:p>
    <w:p>
      <w:pPr>
        <w:spacing w:after="120" w:line="276"/>
      </w:pPr>
      <w:r>
        <w:rPr>
          <w:rFonts w:ascii="Calibri" w:cs="Calibri" w:eastAsia="Calibri" w:hAnsi="Calibri"/>
          <w:color w:val="222222"/>
          <w:sz w:val="21"/>
          <w:szCs w:val="21"/>
        </w:rPr>
        <w:t xml:space="preserve">This is the priority and the whole of what we build now. It is fully within budget on its own.</w:t>
      </w:r>
    </w:p>
    <w:p>
      <w:pPr>
        <w:pStyle w:val="ListParagraph"/>
        <w:numPr>
          <w:ilvl w:val="0"/>
          <w:numId w:val="3"/>
        </w:numPr>
        <w:spacing w:after="60" w:line="272"/>
      </w:pPr>
      <w:r>
        <w:rPr>
          <w:rFonts w:ascii="Calibri" w:cs="Calibri" w:eastAsia="Calibri" w:hAnsi="Calibri"/>
          <w:b/>
          <w:bCs/>
          <w:color w:val="222222"/>
          <w:sz w:val="21"/>
          <w:szCs w:val="21"/>
        </w:rPr>
        <w:t xml:space="preserve">Connect to Xero, once. </w:t>
      </w:r>
      <w:r>
        <w:rPr>
          <w:rFonts w:ascii="Calibri" w:cs="Calibri" w:eastAsia="Calibri" w:hAnsi="Calibri"/>
          <w:color w:val="222222"/>
          <w:sz w:val="21"/>
          <w:szCs w:val="21"/>
        </w:rPr>
        <w:t xml:space="preserve">We securely connect to your Xero account and map your chart of accounts to the report lines — revenue, cost of goods, operating costs. Xero becomes the single source of truth, so every figure reconciles to your books by definition. Read access is all we need.</w:t>
      </w:r>
    </w:p>
    <w:p>
      <w:pPr>
        <w:pStyle w:val="ListParagraph"/>
        <w:numPr>
          <w:ilvl w:val="0"/>
          <w:numId w:val="3"/>
        </w:numPr>
        <w:spacing w:after="60" w:line="272"/>
      </w:pPr>
      <w:r>
        <w:rPr>
          <w:rFonts w:ascii="Calibri" w:cs="Calibri" w:eastAsia="Calibri" w:hAnsi="Calibri"/>
          <w:b/>
          <w:bCs/>
          <w:color w:val="222222"/>
          <w:sz w:val="21"/>
          <w:szCs w:val="21"/>
        </w:rPr>
        <w:t xml:space="preserve">Nail one report, end to end. </w:t>
      </w:r>
      <w:r>
        <w:rPr>
          <w:rFonts w:ascii="Calibri" w:cs="Calibri" w:eastAsia="Calibri" w:hAnsi="Calibri"/>
          <w:color w:val="222222"/>
          <w:sz w:val="21"/>
          <w:szCs w:val="21"/>
        </w:rPr>
        <w:t xml:space="preserve">We build one management-accounts report from your real numbers — the full contents are set out in Section 5 — in a clean, readable format you sign off on. (A worked sample sits alongside this proposal.)</w:t>
      </w:r>
    </w:p>
    <w:p>
      <w:pPr>
        <w:pStyle w:val="ListParagraph"/>
        <w:numPr>
          <w:ilvl w:val="0"/>
          <w:numId w:val="3"/>
        </w:numPr>
        <w:spacing w:after="60" w:line="272"/>
      </w:pPr>
      <w:r>
        <w:rPr>
          <w:rFonts w:ascii="Calibri" w:cs="Calibri" w:eastAsia="Calibri" w:hAnsi="Calibri"/>
          <w:b/>
          <w:bCs/>
          <w:color w:val="222222"/>
          <w:sz w:val="21"/>
          <w:szCs w:val="21"/>
        </w:rPr>
        <w:t xml:space="preserve">Make the cadence run itself — five rhythms. </w:t>
      </w:r>
      <w:r>
        <w:rPr>
          <w:rFonts w:ascii="Calibri" w:cs="Calibri" w:eastAsia="Calibri" w:hAnsi="Calibri"/>
          <w:color w:val="222222"/>
          <w:sz w:val="21"/>
          <w:szCs w:val="21"/>
        </w:rPr>
        <w:t xml:space="preserve">Scheduled routines regenerate the report on their own, each in the same shape every time (Section 4). No one has to remember, and no one has to press a button.</w:t>
      </w:r>
    </w:p>
    <w:p>
      <w:pPr>
        <w:pStyle w:val="ListParagraph"/>
        <w:numPr>
          <w:ilvl w:val="0"/>
          <w:numId w:val="3"/>
        </w:numPr>
        <w:spacing w:after="60" w:line="272"/>
      </w:pPr>
      <w:r>
        <w:rPr>
          <w:rFonts w:ascii="Calibri" w:cs="Calibri" w:eastAsia="Calibri" w:hAnsi="Calibri"/>
          <w:b/>
          <w:bCs/>
          <w:color w:val="222222"/>
          <w:sz w:val="21"/>
          <w:szCs w:val="21"/>
        </w:rPr>
        <w:t xml:space="preserve">Deliver it to you, automatically. </w:t>
      </w:r>
      <w:r>
        <w:rPr>
          <w:rFonts w:ascii="Calibri" w:cs="Calibri" w:eastAsia="Calibri" w:hAnsi="Calibri"/>
          <w:color w:val="222222"/>
          <w:sz w:val="21"/>
          <w:szCs w:val="21"/>
        </w:rPr>
        <w:t xml:space="preserve">Each finished report is emailed to you as an attachment and saved into your shared drive (Google Drive, Dropbox or OneDrive — your choice) in a tidy, dated folder. A one-page plain-English guide and a short walkthrough round it off.</w:t>
      </w:r>
    </w:p>
    <w:p>
      <w:pPr>
        <w:spacing w:after="40"/>
      </w:pPr>
    </w:p>
    <w:p>
      <w:pPr>
        <w:pStyle w:val="Heading2"/>
        <w:spacing w:after="80" w:before="200"/>
      </w:pPr>
      <w:r>
        <w:rPr>
          <w:rFonts w:ascii="Calibri" w:cs="Calibri" w:eastAsia="Calibri" w:hAnsi="Calibri"/>
          <w:b/>
          <w:bCs/>
          <w:color w:val="2E6E7E"/>
          <w:sz w:val="24"/>
          <w:szCs w:val="24"/>
        </w:rPr>
        <w:t xml:space="preserve">Optional upgrade — A proactive sales-insight agent  (add now or later)</w:t>
      </w:r>
    </w:p>
    <w:p>
      <w:pPr>
        <w:spacing w:after="120" w:line="276"/>
      </w:pPr>
      <w:r>
        <w:rPr>
          <w:rFonts w:ascii="Calibri" w:cs="Calibri" w:eastAsia="Calibri" w:hAnsi="Calibri"/>
          <w:color w:val="222222"/>
          <w:sz w:val="21"/>
          <w:szCs w:val="21"/>
        </w:rPr>
        <w:t xml:space="preserve">Not part of the Core build, and not needed for the reporting to work. It is a self-contained add-on you can switch on whenever you like, for a fixed </w:t>
      </w:r>
      <w:r>
        <w:rPr>
          <w:rFonts w:ascii="Calibri" w:cs="Calibri" w:eastAsia="Calibri" w:hAnsi="Calibri"/>
          <w:b/>
          <w:bCs/>
          <w:color w:val="1F3A4D"/>
          <w:sz w:val="21"/>
          <w:szCs w:val="21"/>
        </w:rPr>
        <w:t xml:space="preserve">£1,200</w:t>
      </w:r>
      <w:r>
        <w:rPr>
          <w:rFonts w:ascii="Calibri" w:cs="Calibri" w:eastAsia="Calibri" w:hAnsi="Calibri"/>
          <w:color w:val="222222"/>
          <w:sz w:val="21"/>
          <w:szCs w:val="21"/>
        </w:rPr>
        <w:t xml:space="preserve"> (Section 7). This is the observe → analyse → recommend → repeat loop, not a one-off clever prompt:</w:t>
      </w:r>
    </w:p>
    <w:p>
      <w:pPr>
        <w:pStyle w:val="ListParagraph"/>
        <w:numPr>
          <w:ilvl w:val="0"/>
          <w:numId w:val="2"/>
        </w:numPr>
        <w:spacing w:after="60" w:line="272"/>
      </w:pPr>
      <w:r>
        <w:rPr>
          <w:rFonts w:ascii="Calibri" w:cs="Calibri" w:eastAsia="Calibri" w:hAnsi="Calibri"/>
          <w:color w:val="222222"/>
          <w:sz w:val="21"/>
          <w:szCs w:val="21"/>
        </w:rPr>
        <w:t xml:space="preserve">Watches every new period of data automatically as each routine runs.</w:t>
      </w:r>
    </w:p>
    <w:p>
      <w:pPr>
        <w:pStyle w:val="ListParagraph"/>
        <w:numPr>
          <w:ilvl w:val="0"/>
          <w:numId w:val="2"/>
        </w:numPr>
        <w:spacing w:after="60" w:line="272"/>
      </w:pPr>
      <w:r>
        <w:rPr>
          <w:rFonts w:ascii="Calibri" w:cs="Calibri" w:eastAsia="Calibri" w:hAnsi="Calibri"/>
          <w:color w:val="222222"/>
          <w:sz w:val="21"/>
          <w:szCs w:val="21"/>
        </w:rPr>
        <w:t xml:space="preserve">Surfaces genuine, actionable signals: a hero line quietly declining, a channel pulling ahead, an unusual dip worth a second look.</w:t>
      </w:r>
    </w:p>
    <w:p>
      <w:pPr>
        <w:pStyle w:val="ListParagraph"/>
        <w:numPr>
          <w:ilvl w:val="0"/>
          <w:numId w:val="2"/>
        </w:numPr>
        <w:spacing w:after="60" w:line="272"/>
      </w:pPr>
      <w:r>
        <w:rPr>
          <w:rFonts w:ascii="Calibri" w:cs="Calibri" w:eastAsia="Calibri" w:hAnsi="Calibri"/>
          <w:color w:val="222222"/>
          <w:sz w:val="21"/>
          <w:szCs w:val="21"/>
        </w:rPr>
        <w:t xml:space="preserve">Delivers a short, prioritised note in plain English — “here is what changed and here is what we'd do about it” — in the same email as the report.</w:t>
      </w:r>
    </w:p>
    <w:p>
      <w:pPr>
        <w:pStyle w:val="Heading1"/>
        <w:pBdr>
          <w:bottom w:val="single" w:color="C9BFA8" w:sz="8" w:space="6"/>
        </w:pBdr>
        <w:spacing w:after="120" w:before="320"/>
      </w:pPr>
      <w:r>
        <w:rPr>
          <w:rFonts w:ascii="Calibri" w:cs="Calibri" w:eastAsia="Calibri" w:hAnsi="Calibri"/>
          <w:b/>
          <w:bCs/>
          <w:color w:val="1F3A4D"/>
          <w:sz w:val="30"/>
          <w:szCs w:val="30"/>
        </w:rPr>
        <w:t xml:space="preserve">4.  Your reporting rhythm — five automatic reports</w:t>
      </w:r>
    </w:p>
    <w:p>
      <w:pPr>
        <w:spacing w:after="120" w:line="276"/>
      </w:pPr>
      <w:r>
        <w:rPr>
          <w:rFonts w:ascii="Calibri" w:cs="Calibri" w:eastAsia="Calibri" w:hAnsi="Calibri"/>
          <w:color w:val="222222"/>
          <w:sz w:val="21"/>
          <w:szCs w:val="21"/>
        </w:rPr>
        <w:t xml:space="preserve">Each report covers a different window, so you get both a close-up on the latest week and the long view across the year. Every one lands in your inbox and your drive on its own:</w:t>
      </w:r>
    </w:p>
    <w:tbl>
      <w:tblPr>
        <w:tblW w:type="dxa" w:w="9360"/>
        <w:tblBorders>
          <w:top w:val="single" w:color="C9BFA8" w:sz="2"/>
          <w:left w:val="none"/>
          <w:bottom w:val="single" w:color="C9BFA8" w:sz="2"/>
          <w:right w:val="none"/>
          <w:insideH w:val="single" w:color="E4DECF" w:sz="2"/>
          <w:insideV w:val="none"/>
        </w:tblBorders>
      </w:tblPr>
      <w:tblGrid>
        <w:gridCol w:w="1740"/>
        <w:gridCol w:w="3260"/>
        <w:gridCol w:w="4360"/>
      </w:tblGrid>
      <w:tr>
        <w:trPr>
          <w:tblHeader/>
        </w:trPr>
        <w:tc>
          <w:tcPr>
            <w:tcW w:type="dxa" w:w="174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Report</w:t>
            </w:r>
          </w:p>
        </w:tc>
        <w:tc>
          <w:tcPr>
            <w:tcW w:type="dxa" w:w="326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Covers</w:t>
            </w:r>
          </w:p>
        </w:tc>
        <w:tc>
          <w:tcPr>
            <w:tcW w:type="dxa" w:w="436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What it's for</w:t>
            </w:r>
          </w:p>
        </w:tc>
      </w:tr>
      <w:tr>
        <w:tc>
          <w:tcPr>
            <w:tcW w:type="dxa" w:w="1740"/>
            <w:shd w:fill="F7F4EE" w:color="auto" w:val="clear"/>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Weekly</w:t>
            </w:r>
          </w:p>
        </w:tc>
        <w:tc>
          <w:tcPr>
            <w:tcW w:type="dxa" w:w="32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The new data from the past week</w:t>
            </w:r>
          </w:p>
        </w:tc>
        <w:tc>
          <w:tcPr>
            <w:tcW w:type="dxa" w:w="43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A quick pulse — how last week traded, spotted early</w:t>
            </w:r>
          </w:p>
        </w:tc>
      </w:tr>
      <w:tr>
        <w:tc>
          <w:tcPr>
            <w:tcW w:type="dxa" w:w="1740"/>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Monthly</w:t>
            </w:r>
          </w:p>
        </w:tc>
        <w:tc>
          <w:tcPr>
            <w:tcW w:type="dxa" w:w="32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The new data from the past month</w:t>
            </w:r>
          </w:p>
        </w:tc>
        <w:tc>
          <w:tcPr>
            <w:tcW w:type="dxa" w:w="43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The core management-accounts pack — the sample's shape</w:t>
            </w:r>
          </w:p>
        </w:tc>
      </w:tr>
      <w:tr>
        <w:tc>
          <w:tcPr>
            <w:tcW w:type="dxa" w:w="1740"/>
            <w:shd w:fill="F7F4EE" w:color="auto" w:val="clear"/>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Quarterly</w:t>
            </w:r>
          </w:p>
        </w:tc>
        <w:tc>
          <w:tcPr>
            <w:tcW w:type="dxa" w:w="32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The past 3 months</w:t>
            </w:r>
          </w:p>
        </w:tc>
        <w:tc>
          <w:tcPr>
            <w:tcW w:type="dxa" w:w="43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Trend and seasonality view; smooths out monthly noise</w:t>
            </w:r>
          </w:p>
        </w:tc>
      </w:tr>
      <w:tr>
        <w:tc>
          <w:tcPr>
            <w:tcW w:type="dxa" w:w="1740"/>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Mid-yearly</w:t>
            </w:r>
          </w:p>
        </w:tc>
        <w:tc>
          <w:tcPr>
            <w:tcW w:type="dxa" w:w="32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The past 6 months</w:t>
            </w:r>
          </w:p>
        </w:tc>
        <w:tc>
          <w:tcPr>
            <w:tcW w:type="dxa" w:w="43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Half-year checkpoint against plan and prior year</w:t>
            </w:r>
          </w:p>
        </w:tc>
      </w:tr>
      <w:tr>
        <w:tc>
          <w:tcPr>
            <w:tcW w:type="dxa" w:w="1740"/>
            <w:shd w:fill="F7F4EE" w:color="auto" w:val="clear"/>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Yearly</w:t>
            </w:r>
          </w:p>
        </w:tc>
        <w:tc>
          <w:tcPr>
            <w:tcW w:type="dxa" w:w="32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The last full year of data</w:t>
            </w:r>
          </w:p>
        </w:tc>
        <w:tc>
          <w:tcPr>
            <w:tcW w:type="dxa" w:w="43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The annual picture — growth, margin, the full P&amp;L</w:t>
            </w:r>
          </w:p>
        </w:tc>
      </w:tr>
    </w:tbl>
    <w:p>
      <w:pPr>
        <w:spacing w:after="50"/>
      </w:pPr>
    </w:p>
    <w:p>
      <w:pPr>
        <w:spacing w:after="120" w:line="276"/>
      </w:pPr>
      <w:r>
        <w:rPr>
          <w:rFonts w:ascii="Calibri" w:cs="Calibri" w:eastAsia="Calibri" w:hAnsi="Calibri"/>
          <w:b/>
          <w:bCs/>
          <w:color w:val="1F3A4D"/>
          <w:sz w:val="21"/>
          <w:szCs w:val="21"/>
        </w:rPr>
        <w:t xml:space="preserve">Same shape every time. </w:t>
      </w:r>
      <w:r>
        <w:rPr>
          <w:rFonts w:ascii="Calibri" w:cs="Calibri" w:eastAsia="Calibri" w:hAnsi="Calibri"/>
          <w:color w:val="222222"/>
          <w:sz w:val="21"/>
          <w:szCs w:val="21"/>
        </w:rPr>
        <w:t xml:space="preserve">Whatever the window, each report comes out in the identical, comparable structure set out below — the routines simply change which slice of your Xero data the report is built from.</w:t>
      </w:r>
    </w:p>
    <w:p>
      <w:pPr>
        <w:pStyle w:val="Heading1"/>
        <w:pBdr>
          <w:bottom w:val="single" w:color="C9BFA8" w:sz="8" w:space="6"/>
        </w:pBdr>
        <w:spacing w:after="120" w:before="320"/>
      </w:pPr>
      <w:r>
        <w:rPr>
          <w:rFonts w:ascii="Calibri" w:cs="Calibri" w:eastAsia="Calibri" w:hAnsi="Calibri"/>
          <w:b/>
          <w:bCs/>
          <w:color w:val="1F3A4D"/>
          <w:sz w:val="30"/>
          <w:szCs w:val="30"/>
        </w:rPr>
        <w:t xml:space="preserve">5.  What's in every report</w:t>
      </w:r>
    </w:p>
    <w:p>
      <w:pPr>
        <w:spacing w:after="120" w:line="276"/>
      </w:pPr>
      <w:r>
        <w:rPr>
          <w:rFonts w:ascii="Calibri" w:cs="Calibri" w:eastAsia="Calibri" w:hAnsi="Calibri"/>
          <w:color w:val="222222"/>
          <w:sz w:val="21"/>
          <w:szCs w:val="21"/>
        </w:rPr>
        <w:t xml:space="preserve">Your reports carry everything in the five-year finance workbook you shared, rebuilt live from Xero and presented cleanly. In full, each pack contains:</w:t>
      </w:r>
    </w:p>
    <w:p>
      <w:pPr>
        <w:pStyle w:val="Heading2"/>
        <w:spacing w:after="80" w:before="200"/>
      </w:pPr>
      <w:r>
        <w:rPr>
          <w:rFonts w:ascii="Calibri" w:cs="Calibri" w:eastAsia="Calibri" w:hAnsi="Calibri"/>
          <w:b/>
          <w:bCs/>
          <w:color w:val="2E6E7E"/>
          <w:sz w:val="24"/>
          <w:szCs w:val="24"/>
        </w:rPr>
        <w:t xml:space="preserve">A.  The full profit-&amp;-loss summary</w:t>
      </w:r>
    </w:p>
    <w:p>
      <w:pPr>
        <w:spacing w:after="120" w:line="276"/>
      </w:pPr>
      <w:r>
        <w:rPr>
          <w:rFonts w:ascii="Calibri" w:cs="Calibri" w:eastAsia="Calibri" w:hAnsi="Calibri"/>
          <w:color w:val="222222"/>
          <w:sz w:val="21"/>
          <w:szCs w:val="21"/>
        </w:rPr>
        <w:t xml:space="preserve">A five-year annual P&amp;L (FY2021 through the current year to date), every line reconciling to Xero. Below are your real figures — this is the shape and rigour each report hits:</w:t>
      </w:r>
    </w:p>
    <w:tbl>
      <w:tblPr>
        <w:tblW w:type="dxa" w:w="9360"/>
        <w:tblBorders>
          <w:top w:val="single" w:color="C9BFA8" w:sz="2"/>
          <w:left w:val="none"/>
          <w:bottom w:val="single" w:color="C9BFA8" w:sz="2"/>
          <w:right w:val="none"/>
          <w:insideH w:val="single" w:color="E4DECF" w:sz="2"/>
          <w:insideV w:val="none"/>
        </w:tblBorders>
      </w:tblPr>
      <w:tblGrid>
        <w:gridCol w:w="1860"/>
        <w:gridCol w:w="1250"/>
        <w:gridCol w:w="1250"/>
        <w:gridCol w:w="1250"/>
        <w:gridCol w:w="1250"/>
        <w:gridCol w:w="1250"/>
        <w:gridCol w:w="1250"/>
      </w:tblGrid>
      <w:tr>
        <w:trPr>
          <w:tblHeader/>
        </w:trPr>
        <w:tc>
          <w:tcPr>
            <w:tcW w:type="dxa" w:w="186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17"/>
                <w:szCs w:val="17"/>
              </w:rPr>
              <w:t xml:space="preserve">£</w:t>
            </w:r>
          </w:p>
        </w:tc>
        <w:tc>
          <w:tcPr>
            <w:tcW w:type="dxa" w:w="125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16"/>
                <w:szCs w:val="16"/>
              </w:rPr>
              <w:t xml:space="preserve">FY2021*</w:t>
            </w:r>
          </w:p>
        </w:tc>
        <w:tc>
          <w:tcPr>
            <w:tcW w:type="dxa" w:w="125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16"/>
                <w:szCs w:val="16"/>
              </w:rPr>
              <w:t xml:space="preserve">FY2022*</w:t>
            </w:r>
          </w:p>
        </w:tc>
        <w:tc>
          <w:tcPr>
            <w:tcW w:type="dxa" w:w="125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16"/>
                <w:szCs w:val="16"/>
              </w:rPr>
              <w:t xml:space="preserve">FY2023*</w:t>
            </w:r>
          </w:p>
        </w:tc>
        <w:tc>
          <w:tcPr>
            <w:tcW w:type="dxa" w:w="125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16"/>
                <w:szCs w:val="16"/>
              </w:rPr>
              <w:t xml:space="preserve">FY2024</w:t>
            </w:r>
          </w:p>
        </w:tc>
        <w:tc>
          <w:tcPr>
            <w:tcW w:type="dxa" w:w="125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16"/>
                <w:szCs w:val="16"/>
              </w:rPr>
              <w:t xml:space="preserve">FY2025</w:t>
            </w:r>
          </w:p>
        </w:tc>
        <w:tc>
          <w:tcPr>
            <w:tcW w:type="dxa" w:w="125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16"/>
                <w:szCs w:val="16"/>
              </w:rPr>
              <w:t xml:space="preserve">FY2026 YTD</w:t>
            </w:r>
          </w:p>
        </w:tc>
      </w:tr>
      <w:tr>
        <w:tc>
          <w:tcPr>
            <w:tcW w:type="dxa" w:w="1860"/>
            <w:shd w:fill="F7F4EE" w:color="auto" w:val="clear"/>
            <w:tcMar>
              <w:top w:type="dxa" w:w="60"/>
              <w:left w:type="dxa" w:w="110"/>
              <w:bottom w:type="dxa" w:w="60"/>
              <w:right w:type="dxa" w:w="110"/>
            </w:tcMar>
          </w:tcPr>
          <w:p>
            <w:pPr>
              <w:spacing w:after="20" w:before="20"/>
            </w:pPr>
            <w:r>
              <w:rPr>
                <w:rFonts w:ascii="Calibri" w:cs="Calibri" w:eastAsia="Calibri" w:hAnsi="Calibri"/>
                <w:b/>
                <w:bCs/>
                <w:color w:val="1F3A4D"/>
                <w:sz w:val="17"/>
                <w:szCs w:val="17"/>
              </w:rPr>
              <w:t xml:space="preserve">Revenue</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222222"/>
                <w:sz w:val="17"/>
                <w:szCs w:val="17"/>
              </w:rPr>
              <w:t xml:space="preserve">£215,600</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222222"/>
                <w:sz w:val="17"/>
                <w:szCs w:val="17"/>
              </w:rPr>
              <w:t xml:space="preserve">£467,400</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222222"/>
                <w:sz w:val="17"/>
                <w:szCs w:val="17"/>
              </w:rPr>
              <w:t xml:space="preserve">£532,800</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222222"/>
                <w:sz w:val="17"/>
                <w:szCs w:val="17"/>
              </w:rPr>
              <w:t xml:space="preserve">£588,800</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222222"/>
                <w:sz w:val="17"/>
                <w:szCs w:val="17"/>
              </w:rPr>
              <w:t xml:space="preserve">£638,802</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222222"/>
                <w:sz w:val="17"/>
                <w:szCs w:val="17"/>
              </w:rPr>
              <w:t xml:space="preserve">£347,342</w:t>
            </w:r>
          </w:p>
        </w:tc>
      </w:tr>
      <w:tr>
        <w:tc>
          <w:tcPr>
            <w:tcW w:type="dxa" w:w="1860"/>
            <w:tcMar>
              <w:top w:type="dxa" w:w="60"/>
              <w:left w:type="dxa" w:w="110"/>
              <w:bottom w:type="dxa" w:w="60"/>
              <w:right w:type="dxa" w:w="110"/>
            </w:tcMar>
          </w:tcPr>
          <w:p>
            <w:pPr>
              <w:spacing w:after="20" w:before="20"/>
            </w:pPr>
            <w:r>
              <w:rPr>
                <w:rFonts w:ascii="Calibri" w:cs="Calibri" w:eastAsia="Calibri" w:hAnsi="Calibri"/>
                <w:b/>
                <w:bCs/>
                <w:color w:val="1F3A4D"/>
                <w:sz w:val="17"/>
                <w:szCs w:val="17"/>
              </w:rPr>
              <w:t xml:space="preserve">Gross profit</w:t>
            </w:r>
          </w:p>
        </w:tc>
        <w:tc>
          <w:tcPr>
            <w:tcW w:type="dxa" w:w="1250"/>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£125,048</w:t>
            </w:r>
          </w:p>
        </w:tc>
        <w:tc>
          <w:tcPr>
            <w:tcW w:type="dxa" w:w="1250"/>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£271,092</w:t>
            </w:r>
          </w:p>
        </w:tc>
        <w:tc>
          <w:tcPr>
            <w:tcW w:type="dxa" w:w="1250"/>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£309,024</w:t>
            </w:r>
          </w:p>
        </w:tc>
        <w:tc>
          <w:tcPr>
            <w:tcW w:type="dxa" w:w="1250"/>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£341,504</w:t>
            </w:r>
          </w:p>
        </w:tc>
        <w:tc>
          <w:tcPr>
            <w:tcW w:type="dxa" w:w="1250"/>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£370,505</w:t>
            </w:r>
          </w:p>
        </w:tc>
        <w:tc>
          <w:tcPr>
            <w:tcW w:type="dxa" w:w="1250"/>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£201,458</w:t>
            </w:r>
          </w:p>
        </w:tc>
      </w:tr>
      <w:tr>
        <w:tc>
          <w:tcPr>
            <w:tcW w:type="dxa" w:w="1860"/>
            <w:shd w:fill="F7F4EE" w:color="auto" w:val="clear"/>
            <w:tcMar>
              <w:top w:type="dxa" w:w="60"/>
              <w:left w:type="dxa" w:w="110"/>
              <w:bottom w:type="dxa" w:w="60"/>
              <w:right w:type="dxa" w:w="110"/>
            </w:tcMar>
          </w:tcPr>
          <w:p>
            <w:pPr>
              <w:spacing w:after="20" w:before="20"/>
            </w:pPr>
            <w:r>
              <w:rPr>
                <w:rFonts w:ascii="Calibri" w:cs="Calibri" w:eastAsia="Calibri" w:hAnsi="Calibri"/>
                <w:b/>
                <w:bCs/>
                <w:color w:val="1F3A4D"/>
                <w:sz w:val="17"/>
                <w:szCs w:val="17"/>
              </w:rPr>
              <w:t xml:space="preserve">Operating costs</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£105,734</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£172,461</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£189,792</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£204,632</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£222,683</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17"/>
                <w:szCs w:val="17"/>
              </w:rPr>
              <w:t xml:space="preserve">£124,596</w:t>
            </w:r>
          </w:p>
        </w:tc>
      </w:tr>
      <w:tr>
        <w:tc>
          <w:tcPr>
            <w:tcW w:type="dxa" w:w="1860"/>
            <w:tcMar>
              <w:top w:type="dxa" w:w="60"/>
              <w:left w:type="dxa" w:w="110"/>
              <w:bottom w:type="dxa" w:w="60"/>
              <w:right w:type="dxa" w:w="110"/>
            </w:tcMar>
          </w:tcPr>
          <w:p>
            <w:pPr>
              <w:spacing w:after="20" w:before="20"/>
            </w:pPr>
            <w:r>
              <w:rPr>
                <w:rFonts w:ascii="Calibri" w:cs="Calibri" w:eastAsia="Calibri" w:hAnsi="Calibri"/>
                <w:b/>
                <w:bCs/>
                <w:color w:val="2E6E7E"/>
                <w:sz w:val="17"/>
                <w:szCs w:val="17"/>
              </w:rPr>
              <w:t xml:space="preserve">Net profit</w:t>
            </w:r>
          </w:p>
        </w:tc>
        <w:tc>
          <w:tcPr>
            <w:tcW w:type="dxa" w:w="1250"/>
            <w:tcMar>
              <w:top w:type="dxa" w:w="60"/>
              <w:left w:type="dxa" w:w="110"/>
              <w:bottom w:type="dxa" w:w="60"/>
              <w:right w:type="dxa" w:w="110"/>
            </w:tcMar>
          </w:tcPr>
          <w:p>
            <w:pPr>
              <w:spacing w:after="20" w:before="20"/>
              <w:jc w:val="right"/>
            </w:pPr>
            <w:r>
              <w:rPr>
                <w:rFonts w:ascii="Calibri" w:cs="Calibri" w:eastAsia="Calibri" w:hAnsi="Calibri"/>
                <w:b/>
                <w:bCs/>
                <w:color w:val="2E6E7E"/>
                <w:sz w:val="17"/>
                <w:szCs w:val="17"/>
              </w:rPr>
              <w:t xml:space="preserve">£19,314</w:t>
            </w:r>
          </w:p>
        </w:tc>
        <w:tc>
          <w:tcPr>
            <w:tcW w:type="dxa" w:w="1250"/>
            <w:tcMar>
              <w:top w:type="dxa" w:w="60"/>
              <w:left w:type="dxa" w:w="110"/>
              <w:bottom w:type="dxa" w:w="60"/>
              <w:right w:type="dxa" w:w="110"/>
            </w:tcMar>
          </w:tcPr>
          <w:p>
            <w:pPr>
              <w:spacing w:after="20" w:before="20"/>
              <w:jc w:val="right"/>
            </w:pPr>
            <w:r>
              <w:rPr>
                <w:rFonts w:ascii="Calibri" w:cs="Calibri" w:eastAsia="Calibri" w:hAnsi="Calibri"/>
                <w:b/>
                <w:bCs/>
                <w:color w:val="2E6E7E"/>
                <w:sz w:val="17"/>
                <w:szCs w:val="17"/>
              </w:rPr>
              <w:t xml:space="preserve">£98,631</w:t>
            </w:r>
          </w:p>
        </w:tc>
        <w:tc>
          <w:tcPr>
            <w:tcW w:type="dxa" w:w="1250"/>
            <w:tcMar>
              <w:top w:type="dxa" w:w="60"/>
              <w:left w:type="dxa" w:w="110"/>
              <w:bottom w:type="dxa" w:w="60"/>
              <w:right w:type="dxa" w:w="110"/>
            </w:tcMar>
          </w:tcPr>
          <w:p>
            <w:pPr>
              <w:spacing w:after="20" w:before="20"/>
              <w:jc w:val="right"/>
            </w:pPr>
            <w:r>
              <w:rPr>
                <w:rFonts w:ascii="Calibri" w:cs="Calibri" w:eastAsia="Calibri" w:hAnsi="Calibri"/>
                <w:b/>
                <w:bCs/>
                <w:color w:val="2E6E7E"/>
                <w:sz w:val="17"/>
                <w:szCs w:val="17"/>
              </w:rPr>
              <w:t xml:space="preserve">£119,232</w:t>
            </w:r>
          </w:p>
        </w:tc>
        <w:tc>
          <w:tcPr>
            <w:tcW w:type="dxa" w:w="1250"/>
            <w:tcMar>
              <w:top w:type="dxa" w:w="60"/>
              <w:left w:type="dxa" w:w="110"/>
              <w:bottom w:type="dxa" w:w="60"/>
              <w:right w:type="dxa" w:w="110"/>
            </w:tcMar>
          </w:tcPr>
          <w:p>
            <w:pPr>
              <w:spacing w:after="20" w:before="20"/>
              <w:jc w:val="right"/>
            </w:pPr>
            <w:r>
              <w:rPr>
                <w:rFonts w:ascii="Calibri" w:cs="Calibri" w:eastAsia="Calibri" w:hAnsi="Calibri"/>
                <w:b/>
                <w:bCs/>
                <w:color w:val="2E6E7E"/>
                <w:sz w:val="17"/>
                <w:szCs w:val="17"/>
              </w:rPr>
              <w:t xml:space="preserve">£136,872</w:t>
            </w:r>
          </w:p>
        </w:tc>
        <w:tc>
          <w:tcPr>
            <w:tcW w:type="dxa" w:w="1250"/>
            <w:tcMar>
              <w:top w:type="dxa" w:w="60"/>
              <w:left w:type="dxa" w:w="110"/>
              <w:bottom w:type="dxa" w:w="60"/>
              <w:right w:type="dxa" w:w="110"/>
            </w:tcMar>
          </w:tcPr>
          <w:p>
            <w:pPr>
              <w:spacing w:after="20" w:before="20"/>
              <w:jc w:val="right"/>
            </w:pPr>
            <w:r>
              <w:rPr>
                <w:rFonts w:ascii="Calibri" w:cs="Calibri" w:eastAsia="Calibri" w:hAnsi="Calibri"/>
                <w:b/>
                <w:bCs/>
                <w:color w:val="2E6E7E"/>
                <w:sz w:val="17"/>
                <w:szCs w:val="17"/>
              </w:rPr>
              <w:t xml:space="preserve">£147,823</w:t>
            </w:r>
          </w:p>
        </w:tc>
        <w:tc>
          <w:tcPr>
            <w:tcW w:type="dxa" w:w="1250"/>
            <w:tcMar>
              <w:top w:type="dxa" w:w="60"/>
              <w:left w:type="dxa" w:w="110"/>
              <w:bottom w:type="dxa" w:w="60"/>
              <w:right w:type="dxa" w:w="110"/>
            </w:tcMar>
          </w:tcPr>
          <w:p>
            <w:pPr>
              <w:spacing w:after="20" w:before="20"/>
              <w:jc w:val="right"/>
            </w:pPr>
            <w:r>
              <w:rPr>
                <w:rFonts w:ascii="Calibri" w:cs="Calibri" w:eastAsia="Calibri" w:hAnsi="Calibri"/>
                <w:b/>
                <w:bCs/>
                <w:color w:val="2E6E7E"/>
                <w:sz w:val="17"/>
                <w:szCs w:val="17"/>
              </w:rPr>
              <w:t xml:space="preserve">£76,863</w:t>
            </w:r>
          </w:p>
        </w:tc>
      </w:tr>
      <w:tr>
        <w:tc>
          <w:tcPr>
            <w:tcW w:type="dxa" w:w="1860"/>
            <w:shd w:fill="F7F4EE" w:color="auto" w:val="clear"/>
            <w:tcMar>
              <w:top w:type="dxa" w:w="60"/>
              <w:left w:type="dxa" w:w="110"/>
              <w:bottom w:type="dxa" w:w="60"/>
              <w:right w:type="dxa" w:w="110"/>
            </w:tcMar>
          </w:tcPr>
          <w:p>
            <w:pPr>
              <w:spacing w:after="20" w:before="20"/>
            </w:pPr>
            <w:r>
              <w:rPr>
                <w:rFonts w:ascii="Calibri" w:cs="Calibri" w:eastAsia="Calibri" w:hAnsi="Calibri"/>
                <w:b/>
                <w:bCs/>
                <w:color w:val="1F3A4D"/>
                <w:sz w:val="17"/>
                <w:szCs w:val="17"/>
              </w:rPr>
              <w:t xml:space="preserve">Net margin</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1F3A4D"/>
                <w:sz w:val="17"/>
                <w:szCs w:val="17"/>
              </w:rPr>
              <w:t xml:space="preserve">9.0%</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1F3A4D"/>
                <w:sz w:val="17"/>
                <w:szCs w:val="17"/>
              </w:rPr>
              <w:t xml:space="preserve">21.1%</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1F3A4D"/>
                <w:sz w:val="17"/>
                <w:szCs w:val="17"/>
              </w:rPr>
              <w:t xml:space="preserve">22.4%</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1F3A4D"/>
                <w:sz w:val="17"/>
                <w:szCs w:val="17"/>
              </w:rPr>
              <w:t xml:space="preserve">23.2%</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1F3A4D"/>
                <w:sz w:val="17"/>
                <w:szCs w:val="17"/>
              </w:rPr>
              <w:t xml:space="preserve">23.1%</w:t>
            </w:r>
          </w:p>
        </w:tc>
        <w:tc>
          <w:tcPr>
            <w:tcW w:type="dxa" w:w="125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1F3A4D"/>
                <w:sz w:val="17"/>
                <w:szCs w:val="17"/>
              </w:rPr>
              <w:t xml:space="preserve">22.1%</w:t>
            </w:r>
          </w:p>
        </w:tc>
      </w:tr>
    </w:tbl>
    <w:p>
      <w:pPr>
        <w:spacing w:after="80" w:line="276"/>
      </w:pPr>
      <w:r>
        <w:rPr>
          <w:rFonts w:ascii="Calibri" w:cs="Calibri" w:eastAsia="Calibri" w:hAnsi="Calibri"/>
          <w:color w:val="222222"/>
          <w:sz w:val="21"/>
          <w:szCs w:val="21"/>
        </w:rPr>
        <w:t xml:space="preserve">Gross margin holds at </w:t>
      </w:r>
      <w:r>
        <w:rPr>
          <w:rFonts w:ascii="Calibri" w:cs="Calibri" w:eastAsia="Calibri" w:hAnsi="Calibri"/>
          <w:b/>
          <w:bCs/>
          <w:color w:val="222222"/>
          <w:sz w:val="21"/>
          <w:szCs w:val="21"/>
        </w:rPr>
        <w:t xml:space="preserve">58%</w:t>
      </w:r>
      <w:r>
        <w:rPr>
          <w:rFonts w:ascii="Calibri" w:cs="Calibri" w:eastAsia="Calibri" w:hAnsi="Calibri"/>
          <w:color w:val="222222"/>
          <w:sz w:val="21"/>
          <w:szCs w:val="21"/>
        </w:rPr>
        <w:t xml:space="preserve"> across all five years (COGS modelled at 42% of revenue). Operating costs are itemised into five lines — </w:t>
      </w:r>
      <w:r>
        <w:rPr>
          <w:rFonts w:ascii="Calibri" w:cs="Calibri" w:eastAsia="Calibri" w:hAnsi="Calibri"/>
          <w:color w:val="222222"/>
          <w:sz w:val="21"/>
          <w:szCs w:val="21"/>
        </w:rPr>
        <w:t xml:space="preserve">marketing &amp; advertising (14% of revenue), fulfilment &amp; shipping (9%), platform &amp; payment fees (3.5%)</w:t>
      </w:r>
      <w:r>
        <w:rPr>
          <w:rFonts w:ascii="Calibri" w:cs="Calibri" w:eastAsia="Calibri" w:hAnsi="Calibri"/>
          <w:color w:val="222222"/>
          <w:sz w:val="21"/>
          <w:szCs w:val="21"/>
        </w:rPr>
        <w:t xml:space="preserve">, plus </w:t>
      </w:r>
      <w:r>
        <w:rPr>
          <w:rFonts w:ascii="Calibri" w:cs="Calibri" w:eastAsia="Calibri" w:hAnsi="Calibri"/>
          <w:color w:val="222222"/>
          <w:sz w:val="21"/>
          <w:szCs w:val="21"/>
        </w:rPr>
        <w:t xml:space="preserve">founders' compensation</w:t>
      </w:r>
      <w:r>
        <w:rPr>
          <w:rFonts w:ascii="Calibri" w:cs="Calibri" w:eastAsia="Calibri" w:hAnsi="Calibri"/>
          <w:color w:val="222222"/>
          <w:sz w:val="21"/>
          <w:szCs w:val="21"/>
        </w:rPr>
        <w:t xml:space="preserve"> and </w:t>
      </w:r>
      <w:r>
        <w:rPr>
          <w:rFonts w:ascii="Calibri" w:cs="Calibri" w:eastAsia="Calibri" w:hAnsi="Calibri"/>
          <w:color w:val="222222"/>
          <w:sz w:val="21"/>
          <w:szCs w:val="21"/>
        </w:rPr>
        <w:t xml:space="preserve">software &amp; overhead</w:t>
      </w:r>
      <w:r>
        <w:rPr>
          <w:rFonts w:ascii="Calibri" w:cs="Calibri" w:eastAsia="Calibri" w:hAnsi="Calibri"/>
          <w:color w:val="222222"/>
          <w:sz w:val="21"/>
          <w:szCs w:val="21"/>
        </w:rPr>
        <w:t xml:space="preserve"> as fixed monthly amounts that step up year to year. Because those fixed costs don't fall when sales do, a revenue dip squeezes net margin by more than the drop alone — a nuance the report makes visible.</w:t>
      </w:r>
    </w:p>
    <w:p>
      <w:pPr>
        <w:pStyle w:val="Heading2"/>
        <w:spacing w:after="80" w:before="200"/>
      </w:pPr>
      <w:r>
        <w:rPr>
          <w:rFonts w:ascii="Calibri" w:cs="Calibri" w:eastAsia="Calibri" w:hAnsi="Calibri"/>
          <w:b/>
          <w:bCs/>
          <w:color w:val="2E6E7E"/>
          <w:sz w:val="24"/>
          <w:szCs w:val="24"/>
        </w:rPr>
        <w:t xml:space="preserve">B.  Revenue trend &amp; units</w:t>
      </w:r>
    </w:p>
    <w:p>
      <w:pPr>
        <w:spacing w:after="120" w:line="276"/>
      </w:pPr>
      <w:r>
        <w:rPr>
          <w:rFonts w:ascii="Calibri" w:cs="Calibri" w:eastAsia="Calibri" w:hAnsi="Calibri"/>
          <w:color w:val="222222"/>
          <w:sz w:val="21"/>
          <w:szCs w:val="21"/>
        </w:rPr>
        <w:t xml:space="preserve">Monthly revenue from January 2024 to date, each month with units sold, revenue per unit, month-on-month growth and year-on-year growth — plus the clear, repeatable Q4 (Nov–Dec) seasonal peak the history shows every year.</w:t>
      </w:r>
    </w:p>
    <w:p>
      <w:pPr>
        <w:pStyle w:val="Heading2"/>
        <w:spacing w:after="80" w:before="200"/>
      </w:pPr>
      <w:r>
        <w:rPr>
          <w:rFonts w:ascii="Calibri" w:cs="Calibri" w:eastAsia="Calibri" w:hAnsi="Calibri"/>
          <w:b/>
          <w:bCs/>
          <w:color w:val="2E6E7E"/>
          <w:sz w:val="24"/>
          <w:szCs w:val="24"/>
        </w:rPr>
        <w:t xml:space="preserve">C.  The signals worth acting on</w:t>
      </w:r>
    </w:p>
    <w:p>
      <w:pPr>
        <w:spacing w:after="120" w:line="276"/>
      </w:pPr>
      <w:r>
        <w:rPr>
          <w:rFonts w:ascii="Calibri" w:cs="Calibri" w:eastAsia="Calibri" w:hAnsi="Calibri"/>
          <w:color w:val="222222"/>
          <w:sz w:val="21"/>
          <w:szCs w:val="21"/>
        </w:rPr>
        <w:t xml:space="preserve">The report calls out what the numbers are telling you. Front and centre right now: </w:t>
      </w:r>
      <w:r>
        <w:rPr>
          <w:rFonts w:ascii="Calibri" w:cs="Calibri" w:eastAsia="Calibri" w:hAnsi="Calibri"/>
          <w:b/>
          <w:bCs/>
          <w:color w:val="B4553F"/>
          <w:sz w:val="21"/>
          <w:szCs w:val="21"/>
        </w:rPr>
        <w:t xml:space="preserve">July 2026 revenue of £41,850 — down 24.4% on June and 22.0% on July last year, the first July to fall below its prior year</w:t>
      </w:r>
      <w:r>
        <w:rPr>
          <w:rFonts w:ascii="Calibri" w:cs="Calibri" w:eastAsia="Calibri" w:hAnsi="Calibri"/>
          <w:color w:val="222222"/>
          <w:sz w:val="21"/>
          <w:szCs w:val="21"/>
        </w:rPr>
        <w:t xml:space="preserve">, against H1 growth that had already cooled to +2.7%. Exactly the kind of thing you'd want flagged before you noticed it yourself.</w:t>
      </w:r>
    </w:p>
    <w:p>
      <w:pPr>
        <w:pStyle w:val="Heading2"/>
        <w:spacing w:after="80" w:before="200"/>
      </w:pPr>
      <w:r>
        <w:rPr>
          <w:rFonts w:ascii="Calibri" w:cs="Calibri" w:eastAsia="Calibri" w:hAnsi="Calibri"/>
          <w:b/>
          <w:bCs/>
          <w:color w:val="2E6E7E"/>
          <w:sz w:val="24"/>
          <w:szCs w:val="24"/>
        </w:rPr>
        <w:t xml:space="preserve">D.  Transparent assumptions</w:t>
      </w:r>
    </w:p>
    <w:p>
      <w:pPr>
        <w:spacing w:after="120" w:line="276"/>
      </w:pPr>
      <w:r>
        <w:rPr>
          <w:rFonts w:ascii="Calibri" w:cs="Calibri" w:eastAsia="Calibri" w:hAnsi="Calibri"/>
          <w:color w:val="222222"/>
          <w:sz w:val="21"/>
          <w:szCs w:val="21"/>
        </w:rPr>
        <w:t xml:space="preserve">The modelling rates behind the numbers (COGS 42%, marketing 14%, fulfilment 9%, fees 3.5%, and the fixed monthly costs) are stated on the report, so every figure is traceable and nothing is a black box.</w:t>
      </w:r>
    </w:p>
    <w:p>
      <w:pPr>
        <w:spacing w:after="30"/>
      </w:pPr>
    </w:p>
    <w:tbl>
      <w:tblPr>
        <w:tblW w:type="dxa" w:w="9360"/>
        <w:tblBorders>
          <w:top w:val="single" w:color="2E6E7E" w:sz="6"/>
          <w:left w:val="single" w:color="2E6E7E" w:sz="6"/>
          <w:bottom w:val="single" w:color="2E6E7E" w:sz="6"/>
          <w:right w:val="single" w:color="2E6E7E" w:sz="6"/>
          <w:insideH w:val="none"/>
          <w:insideV w:val="none"/>
        </w:tblBorders>
      </w:tblPr>
      <w:tblGrid>
        <w:gridCol w:w="9360"/>
      </w:tblGrid>
      <w:tr>
        <w:tc>
          <w:tcPr>
            <w:tcW w:type="dxa" w:w="9360"/>
            <w:shd w:fill="F7F4EE" w:color="auto" w:val="clear"/>
            <w:tcMar>
              <w:top w:type="dxa" w:w="180"/>
              <w:left w:type="dxa" w:w="240"/>
              <w:bottom w:type="dxa" w:w="180"/>
              <w:right w:type="dxa" w:w="240"/>
            </w:tcMar>
          </w:tcPr>
          <w:p>
            <w:pPr>
              <w:spacing w:after="70"/>
            </w:pPr>
            <w:r>
              <w:rPr>
                <w:rFonts w:ascii="Calibri" w:cs="Calibri" w:eastAsia="Calibri" w:hAnsi="Calibri"/>
                <w:b/>
                <w:bCs/>
                <w:color w:val="2E6E7E"/>
                <w:sz w:val="20"/>
                <w:szCs w:val="20"/>
              </w:rPr>
              <w:t xml:space="preserve">We fix the data problems, not paper over them</w:t>
            </w:r>
          </w:p>
          <w:p>
            <w:pPr>
              <w:spacing w:line="276"/>
            </w:pPr>
            <w:r>
              <w:rPr>
                <w:rFonts w:ascii="Calibri" w:cs="Calibri" w:eastAsia="Calibri" w:hAnsi="Calibri"/>
                <w:color w:val="222222"/>
                <w:sz w:val="21"/>
                <w:szCs w:val="21"/>
              </w:rPr>
              <w:t xml:space="preserve">Your workbook has the usual real-world rough edges, and we clean every one on the way into the report: </w:t>
            </w:r>
            <w:r>
              <w:rPr>
                <w:rFonts w:ascii="Calibri" w:cs="Calibri" w:eastAsia="Calibri" w:hAnsi="Calibri"/>
                <w:b/>
                <w:bCs/>
                <w:color w:val="222222"/>
                <w:sz w:val="21"/>
                <w:szCs w:val="21"/>
              </w:rPr>
              <w:t xml:space="preserve">missing month labels</w:t>
            </w:r>
            <w:r>
              <w:rPr>
                <w:rFonts w:ascii="Calibri" w:cs="Calibri" w:eastAsia="Calibri" w:hAnsi="Calibri"/>
                <w:color w:val="222222"/>
                <w:sz w:val="21"/>
                <w:szCs w:val="21"/>
              </w:rPr>
              <w:t xml:space="preserve"> (Feb 2024–Jan 2025 had lost theirs) are restored; a </w:t>
            </w:r>
            <w:r>
              <w:rPr>
                <w:rFonts w:ascii="Calibri" w:cs="Calibri" w:eastAsia="Calibri" w:hAnsi="Calibri"/>
                <w:b/>
                <w:bCs/>
                <w:color w:val="222222"/>
                <w:sz w:val="21"/>
                <w:szCs w:val="21"/>
              </w:rPr>
              <w:t xml:space="preserve">stray counter and a column mis-alignment</w:t>
            </w:r>
            <w:r>
              <w:rPr>
                <w:rFonts w:ascii="Calibri" w:cs="Calibri" w:eastAsia="Calibri" w:hAnsi="Calibri"/>
                <w:color w:val="222222"/>
                <w:sz w:val="21"/>
                <w:szCs w:val="21"/>
              </w:rPr>
              <w:t xml:space="preserve"> that had crept into the 2024 growth columns are removed; over-long decimals are </w:t>
            </w:r>
            <w:r>
              <w:rPr>
                <w:rFonts w:ascii="Calibri" w:cs="Calibri" w:eastAsia="Calibri" w:hAnsi="Calibri"/>
                <w:b/>
                <w:bCs/>
                <w:color w:val="222222"/>
                <w:sz w:val="21"/>
                <w:szCs w:val="21"/>
              </w:rPr>
              <w:t xml:space="preserve">rounded consistently</w:t>
            </w:r>
            <w:r>
              <w:rPr>
                <w:rFonts w:ascii="Calibri" w:cs="Calibri" w:eastAsia="Calibri" w:hAnsi="Calibri"/>
                <w:color w:val="222222"/>
                <w:sz w:val="21"/>
                <w:szCs w:val="21"/>
              </w:rPr>
              <w:t xml:space="preserve"> (whole pounds, one-decimal percentages); and the </w:t>
            </w:r>
            <w:r>
              <w:rPr>
                <w:rFonts w:ascii="Calibri" w:cs="Calibri" w:eastAsia="Calibri" w:hAnsi="Calibri"/>
                <w:b/>
                <w:bCs/>
                <w:color w:val="222222"/>
                <w:sz w:val="21"/>
                <w:szCs w:val="21"/>
              </w:rPr>
              <w:t xml:space="preserve">annual-only years (FY2021–2023)</w:t>
            </w:r>
            <w:r>
              <w:rPr>
                <w:rFonts w:ascii="Calibri" w:cs="Calibri" w:eastAsia="Calibri" w:hAnsi="Calibri"/>
                <w:color w:val="222222"/>
                <w:sz w:val="21"/>
                <w:szCs w:val="21"/>
              </w:rPr>
              <w:t xml:space="preserve"> are labelled as such rather than shown as false monthly precision. Pulling live from Xero stops most of these recurring in the first place.</w:t>
            </w:r>
          </w:p>
        </w:tc>
      </w:tr>
    </w:tbl>
    <w:p>
      <w:pPr>
        <w:pStyle w:val="Heading1"/>
        <w:pBdr>
          <w:bottom w:val="single" w:color="C9BFA8" w:sz="8" w:space="6"/>
        </w:pBdr>
        <w:spacing w:after="120" w:before="320"/>
      </w:pPr>
      <w:r>
        <w:rPr>
          <w:rFonts w:ascii="Calibri" w:cs="Calibri" w:eastAsia="Calibri" w:hAnsi="Calibri"/>
          <w:b/>
          <w:bCs/>
          <w:color w:val="1F3A4D"/>
          <w:sz w:val="30"/>
          <w:szCs w:val="30"/>
        </w:rPr>
        <w:t xml:space="preserve">6.  How it runs (in plain English)</w:t>
      </w:r>
    </w:p>
    <w:p>
      <w:pPr>
        <w:spacing w:after="120" w:line="276"/>
      </w:pPr>
      <w:r>
        <w:rPr>
          <w:rFonts w:ascii="Calibri" w:cs="Calibri" w:eastAsia="Calibri" w:hAnsi="Calibri"/>
          <w:color w:val="222222"/>
          <w:sz w:val="21"/>
          <w:szCs w:val="21"/>
        </w:rPr>
        <w:t xml:space="preserve">You do not need to understand the plumbing, but here is the shape of it. The whole thing is built on Claude and runs on Anthropic's cloud — which matters, because the reports generate on schedule even when both your laptops are closed.</w:t>
      </w:r>
    </w:p>
    <w:p>
      <w:pPr>
        <w:pStyle w:val="ListParagraph"/>
        <w:numPr>
          <w:ilvl w:val="0"/>
          <w:numId w:val="2"/>
        </w:numPr>
        <w:spacing w:after="60" w:line="272"/>
      </w:pPr>
      <w:r>
        <w:rPr>
          <w:rFonts w:ascii="Calibri" w:cs="Calibri" w:eastAsia="Calibri" w:hAnsi="Calibri"/>
          <w:b/>
          <w:bCs/>
          <w:color w:val="222222"/>
          <w:sz w:val="21"/>
          <w:szCs w:val="21"/>
        </w:rPr>
        <w:t xml:space="preserve">Xero, connected as the source. </w:t>
      </w:r>
      <w:r>
        <w:rPr>
          <w:rFonts w:ascii="Calibri" w:cs="Calibri" w:eastAsia="Calibri" w:hAnsi="Calibri"/>
          <w:color w:val="222222"/>
          <w:sz w:val="21"/>
          <w:szCs w:val="21"/>
        </w:rPr>
        <w:t xml:space="preserve">We link Xero directly so the numbers come from the truth, not a spreadsheet you don't trust.</w:t>
      </w:r>
    </w:p>
    <w:p>
      <w:pPr>
        <w:pStyle w:val="ListParagraph"/>
        <w:numPr>
          <w:ilvl w:val="0"/>
          <w:numId w:val="2"/>
        </w:numPr>
        <w:spacing w:after="60" w:line="272"/>
      </w:pPr>
      <w:r>
        <w:rPr>
          <w:rFonts w:ascii="Calibri" w:cs="Calibri" w:eastAsia="Calibri" w:hAnsi="Calibri"/>
          <w:b/>
          <w:bCs/>
          <w:color w:val="222222"/>
          <w:sz w:val="21"/>
          <w:szCs w:val="21"/>
        </w:rPr>
        <w:t xml:space="preserve">Claude generates the report </w:t>
      </w:r>
      <w:r>
        <w:rPr>
          <w:rFonts w:ascii="Calibri" w:cs="Calibri" w:eastAsia="Calibri" w:hAnsi="Calibri"/>
          <w:color w:val="222222"/>
          <w:sz w:val="21"/>
          <w:szCs w:val="21"/>
        </w:rPr>
        <w:t xml:space="preserve">as a polished document, in a fixed structure so every period looks identical and comparable.</w:t>
      </w:r>
    </w:p>
    <w:p>
      <w:pPr>
        <w:pStyle w:val="ListParagraph"/>
        <w:numPr>
          <w:ilvl w:val="0"/>
          <w:numId w:val="2"/>
        </w:numPr>
        <w:spacing w:after="60" w:line="272"/>
      </w:pPr>
      <w:r>
        <w:rPr>
          <w:rFonts w:ascii="Calibri" w:cs="Calibri" w:eastAsia="Calibri" w:hAnsi="Calibri"/>
          <w:b/>
          <w:bCs/>
          <w:color w:val="222222"/>
          <w:sz w:val="21"/>
          <w:szCs w:val="21"/>
        </w:rPr>
        <w:t xml:space="preserve">Scheduled routines run the five rhythms </w:t>
      </w:r>
      <w:r>
        <w:rPr>
          <w:rFonts w:ascii="Calibri" w:cs="Calibri" w:eastAsia="Calibri" w:hAnsi="Calibri"/>
          <w:color w:val="222222"/>
          <w:sz w:val="21"/>
          <w:szCs w:val="21"/>
        </w:rPr>
        <w:t xml:space="preserve">— weekly, monthly, quarterly, mid-yearly and annually — on Anthropic's cloud, with nobody in the loop and nothing running on your machines.</w:t>
      </w:r>
    </w:p>
    <w:p>
      <w:pPr>
        <w:pStyle w:val="ListParagraph"/>
        <w:numPr>
          <w:ilvl w:val="0"/>
          <w:numId w:val="2"/>
        </w:numPr>
        <w:spacing w:after="60" w:line="272"/>
      </w:pPr>
      <w:r>
        <w:rPr>
          <w:rFonts w:ascii="Calibri" w:cs="Calibri" w:eastAsia="Calibri" w:hAnsi="Calibri"/>
          <w:b/>
          <w:bCs/>
          <w:color w:val="222222"/>
          <w:sz w:val="21"/>
          <w:szCs w:val="21"/>
        </w:rPr>
        <w:t xml:space="preserve">Delivery to you </w:t>
      </w:r>
      <w:r>
        <w:rPr>
          <w:rFonts w:ascii="Calibri" w:cs="Calibri" w:eastAsia="Calibri" w:hAnsi="Calibri"/>
          <w:color w:val="222222"/>
          <w:sz w:val="21"/>
          <w:szCs w:val="21"/>
        </w:rPr>
        <w:t xml:space="preserve">emails the finished report as an attachment and drops a copy into a dated folder in your shared drive.</w:t>
      </w:r>
    </w:p>
    <w:p>
      <w:pPr>
        <w:spacing w:after="50"/>
      </w:pPr>
    </w:p>
    <w:tbl>
      <w:tblPr>
        <w:tblW w:type="dxa" w:w="9360"/>
        <w:tblBorders>
          <w:top w:val="single" w:color="2E6E7E" w:sz="6"/>
          <w:left w:val="single" w:color="2E6E7E" w:sz="6"/>
          <w:bottom w:val="single" w:color="2E6E7E" w:sz="6"/>
          <w:right w:val="single" w:color="2E6E7E" w:sz="6"/>
          <w:insideH w:val="none"/>
          <w:insideV w:val="none"/>
        </w:tblBorders>
      </w:tblPr>
      <w:tblGrid>
        <w:gridCol w:w="9360"/>
      </w:tblGrid>
      <w:tr>
        <w:tc>
          <w:tcPr>
            <w:tcW w:type="dxa" w:w="9360"/>
            <w:shd w:fill="F7F4EE" w:color="auto" w:val="clear"/>
            <w:tcMar>
              <w:top w:type="dxa" w:w="180"/>
              <w:left w:type="dxa" w:w="240"/>
              <w:bottom w:type="dxa" w:w="180"/>
              <w:right w:type="dxa" w:w="240"/>
            </w:tcMar>
          </w:tcPr>
          <w:p>
            <w:pPr>
              <w:spacing w:after="70"/>
            </w:pPr>
            <w:r>
              <w:rPr>
                <w:rFonts w:ascii="Calibri" w:cs="Calibri" w:eastAsia="Calibri" w:hAnsi="Calibri"/>
                <w:b/>
                <w:bCs/>
                <w:color w:val="2E6E7E"/>
                <w:sz w:val="20"/>
                <w:szCs w:val="20"/>
              </w:rPr>
              <w:t xml:space="preserve">Trusting the numbers — and keeping them yours</w:t>
            </w:r>
          </w:p>
          <w:p>
            <w:pPr>
              <w:spacing w:line="276"/>
            </w:pPr>
            <w:r>
              <w:rPr>
                <w:rFonts w:ascii="Calibri" w:cs="Calibri" w:eastAsia="Calibri" w:hAnsi="Calibri"/>
                <w:color w:val="222222"/>
                <w:sz w:val="21"/>
                <w:szCs w:val="21"/>
              </w:rPr>
              <w:t xml:space="preserve">Every figure is calculated deterministically from your Xero data and reconciles back to your books — the AI formats and explains the report, it does not invent the maths. The very first report is checked by us and signed off by you before anything runs on its own. </w:t>
            </w:r>
            <w:r>
              <w:rPr>
                <w:rFonts w:ascii="Calibri" w:cs="Calibri" w:eastAsia="Calibri" w:hAnsi="Calibri"/>
                <w:b/>
                <w:bCs/>
                <w:color w:val="222222"/>
                <w:sz w:val="21"/>
                <w:szCs w:val="21"/>
              </w:rPr>
              <w:t xml:space="preserve">Your data stays yours: </w:t>
            </w:r>
            <w:r>
              <w:rPr>
                <w:rFonts w:ascii="Calibri" w:cs="Calibri" w:eastAsia="Calibri" w:hAnsi="Calibri"/>
                <w:color w:val="222222"/>
                <w:sz w:val="21"/>
                <w:szCs w:val="21"/>
              </w:rPr>
              <w:t xml:space="preserve">it is used only to produce your reports, is never used to train any AI model, and the setup is GDPR-friendly. Because it all sits under your own account, access is yours to grant or revoke at any time.</w:t>
            </w:r>
          </w:p>
        </w:tc>
      </w:tr>
    </w:tbl>
    <w:p>
      <w:pPr>
        <w:pStyle w:val="Heading1"/>
        <w:pBdr>
          <w:bottom w:val="single" w:color="C9BFA8" w:sz="8" w:space="6"/>
        </w:pBdr>
        <w:spacing w:after="120" w:before="320"/>
      </w:pPr>
      <w:r>
        <w:rPr>
          <w:rFonts w:ascii="Calibri" w:cs="Calibri" w:eastAsia="Calibri" w:hAnsi="Calibri"/>
          <w:b/>
          <w:bCs/>
          <w:color w:val="1F3A4D"/>
          <w:sz w:val="30"/>
          <w:szCs w:val="30"/>
        </w:rPr>
        <w:t xml:space="preserve">7.  Investment</w:t>
      </w:r>
    </w:p>
    <w:p>
      <w:pPr>
        <w:spacing w:after="120" w:line="276"/>
      </w:pPr>
      <w:r>
        <w:rPr>
          <w:rFonts w:ascii="Calibri" w:cs="Calibri" w:eastAsia="Calibri" w:hAnsi="Calibri"/>
          <w:color w:val="222222"/>
          <w:sz w:val="21"/>
          <w:szCs w:val="21"/>
        </w:rPr>
        <w:t xml:space="preserve">Fixed build fee, agreed upfront — no hourly billing, no surprises. Priced against the </w:t>
      </w:r>
      <w:r>
        <w:rPr>
          <w:rFonts w:ascii="Calibri" w:cs="Calibri" w:eastAsia="Calibri" w:hAnsi="Calibri"/>
          <w:b/>
          <w:bCs/>
          <w:color w:val="222222"/>
          <w:sz w:val="21"/>
          <w:szCs w:val="21"/>
        </w:rPr>
        <w:t xml:space="preserve">£2,000–£5,000</w:t>
      </w:r>
      <w:r>
        <w:rPr>
          <w:rFonts w:ascii="Calibri" w:cs="Calibri" w:eastAsia="Calibri" w:hAnsi="Calibri"/>
          <w:color w:val="222222"/>
          <w:sz w:val="21"/>
          <w:szCs w:val="21"/>
        </w:rPr>
        <w:t xml:space="preserve"> budget you gave us:</w:t>
      </w:r>
    </w:p>
    <w:tbl>
      <w:tblPr>
        <w:tblW w:type="dxa" w:w="9360"/>
        <w:tblBorders>
          <w:top w:val="single" w:color="C9BFA8" w:sz="2"/>
          <w:left w:val="none"/>
          <w:bottom w:val="single" w:color="C9BFA8" w:sz="2"/>
          <w:right w:val="none"/>
          <w:insideH w:val="single" w:color="E4DECF" w:sz="2"/>
          <w:insideV w:val="none"/>
        </w:tblBorders>
      </w:tblPr>
      <w:tblGrid>
        <w:gridCol w:w="5100"/>
        <w:gridCol w:w="1820"/>
        <w:gridCol w:w="2440"/>
      </w:tblGrid>
      <w:tr>
        <w:trPr>
          <w:tblHeader/>
        </w:trPr>
        <w:tc>
          <w:tcPr>
            <w:tcW w:type="dxa" w:w="510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Package</w:t>
            </w:r>
          </w:p>
        </w:tc>
        <w:tc>
          <w:tcPr>
            <w:tcW w:type="dxa" w:w="182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When</w:t>
            </w:r>
          </w:p>
        </w:tc>
        <w:tc>
          <w:tcPr>
            <w:tcW w:type="dxa" w:w="244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20"/>
                <w:szCs w:val="20"/>
              </w:rPr>
              <w:t xml:space="preserve">Fixed fee</w:t>
            </w:r>
          </w:p>
        </w:tc>
      </w:tr>
      <w:tr>
        <w:tc>
          <w:tcPr>
            <w:tcW w:type="dxa" w:w="5100"/>
            <w:shd w:fill="F1ECE2" w:color="auto" w:val="clear"/>
            <w:tcMar>
              <w:top w:type="dxa" w:w="60"/>
              <w:left w:type="dxa" w:w="110"/>
              <w:bottom w:type="dxa" w:w="60"/>
              <w:right w:type="dxa" w:w="110"/>
            </w:tcMar>
          </w:tcPr>
          <w:p>
            <w:r>
              <w:rPr>
                <w:rFonts w:ascii="Calibri" w:cs="Calibri" w:eastAsia="Calibri" w:hAnsi="Calibri"/>
                <w:b/>
                <w:bCs/>
                <w:color w:val="1F3A4D"/>
                <w:sz w:val="20"/>
                <w:szCs w:val="20"/>
              </w:rPr>
              <w:t xml:space="preserve">Core — Management accounts on autopilot</w:t>
            </w:r>
          </w:p>
          <w:p>
            <w:pPr>
              <w:spacing w:before="30"/>
            </w:pPr>
            <w:r>
              <w:rPr>
                <w:rFonts w:ascii="Calibri" w:cs="Calibri" w:eastAsia="Calibri" w:hAnsi="Calibri"/>
                <w:color w:val="5A5A5A"/>
                <w:sz w:val="18"/>
                <w:szCs w:val="18"/>
              </w:rPr>
              <w:t xml:space="preserve">Xero connection, one signed-off report, the five automated routines, email + drive delivery, guide &amp; training.</w:t>
            </w:r>
          </w:p>
        </w:tc>
        <w:tc>
          <w:tcPr>
            <w:tcW w:type="dxa" w:w="1820"/>
            <w:shd w:fill="F1ECE2" w:color="auto" w:val="clear"/>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Now</w:t>
            </w:r>
          </w:p>
        </w:tc>
        <w:tc>
          <w:tcPr>
            <w:tcW w:type="dxa" w:w="2440"/>
            <w:shd w:fill="F1ECE2" w:color="auto" w:val="clear"/>
            <w:tcMar>
              <w:top w:type="dxa" w:w="60"/>
              <w:left w:type="dxa" w:w="110"/>
              <w:bottom w:type="dxa" w:w="60"/>
              <w:right w:type="dxa" w:w="110"/>
            </w:tcMar>
          </w:tcPr>
          <w:p>
            <w:pPr>
              <w:spacing w:after="20" w:before="20"/>
              <w:jc w:val="right"/>
            </w:pPr>
            <w:r>
              <w:rPr>
                <w:rFonts w:ascii="Calibri" w:cs="Calibri" w:eastAsia="Calibri" w:hAnsi="Calibri"/>
                <w:b/>
                <w:bCs/>
                <w:color w:val="1F3A4D"/>
                <w:sz w:val="24"/>
                <w:szCs w:val="24"/>
              </w:rPr>
              <w:t xml:space="preserve">£3,200</w:t>
            </w:r>
          </w:p>
        </w:tc>
      </w:tr>
      <w:tr>
        <w:tc>
          <w:tcPr>
            <w:tcW w:type="dxa" w:w="5100"/>
            <w:tcMar>
              <w:top w:type="dxa" w:w="60"/>
              <w:left w:type="dxa" w:w="110"/>
              <w:bottom w:type="dxa" w:w="60"/>
              <w:right w:type="dxa" w:w="110"/>
            </w:tcMar>
          </w:tcPr>
          <w:p>
            <w:r>
              <w:rPr>
                <w:rFonts w:ascii="Calibri" w:cs="Calibri" w:eastAsia="Calibri" w:hAnsi="Calibri"/>
                <w:b/>
                <w:bCs/>
                <w:color w:val="1F3A4D"/>
                <w:sz w:val="20"/>
                <w:szCs w:val="20"/>
              </w:rPr>
              <w:t xml:space="preserve">Optional upgrade — Proactive insight agent</w:t>
            </w:r>
          </w:p>
          <w:p>
            <w:pPr>
              <w:spacing w:before="30"/>
            </w:pPr>
            <w:r>
              <w:rPr>
                <w:rFonts w:ascii="Calibri" w:cs="Calibri" w:eastAsia="Calibri" w:hAnsi="Calibri"/>
                <w:color w:val="5A5A5A"/>
                <w:sz w:val="18"/>
                <w:szCs w:val="18"/>
              </w:rPr>
              <w:t xml:space="preserve">Self-contained add-on to the Core; the observe→recommend loop. Add whenever you like.</w:t>
            </w:r>
          </w:p>
        </w:tc>
        <w:tc>
          <w:tcPr>
            <w:tcW w:type="dxa" w:w="1820"/>
            <w:tcMar>
              <w:top w:type="dxa" w:w="60"/>
              <w:left w:type="dxa" w:w="110"/>
              <w:bottom w:type="dxa" w:w="60"/>
              <w:right w:type="dxa" w:w="110"/>
            </w:tcMar>
          </w:tcPr>
          <w:p>
            <w:pPr>
              <w:spacing w:after="20" w:before="20"/>
            </w:pPr>
            <w:r>
              <w:rPr>
                <w:rFonts w:ascii="Calibri" w:cs="Calibri" w:eastAsia="Calibri" w:hAnsi="Calibri"/>
                <w:color w:val="5A5A5A"/>
                <w:sz w:val="20"/>
                <w:szCs w:val="20"/>
              </w:rPr>
              <w:t xml:space="preserve">Now or later</w:t>
            </w:r>
          </w:p>
        </w:tc>
        <w:tc>
          <w:tcPr>
            <w:tcW w:type="dxa" w:w="2440"/>
            <w:tcMar>
              <w:top w:type="dxa" w:w="60"/>
              <w:left w:type="dxa" w:w="110"/>
              <w:bottom w:type="dxa" w:w="60"/>
              <w:right w:type="dxa" w:w="110"/>
            </w:tcMar>
          </w:tcPr>
          <w:p>
            <w:pPr>
              <w:spacing w:after="20" w:before="20"/>
              <w:jc w:val="right"/>
            </w:pPr>
            <w:r>
              <w:rPr>
                <w:rFonts w:ascii="Calibri" w:cs="Calibri" w:eastAsia="Calibri" w:hAnsi="Calibri"/>
                <w:b/>
                <w:bCs/>
                <w:color w:val="1F3A4D"/>
                <w:sz w:val="20"/>
                <w:szCs w:val="20"/>
              </w:rPr>
              <w:t xml:space="preserve">+ £1,200</w:t>
            </w:r>
          </w:p>
        </w:tc>
      </w:tr>
    </w:tbl>
    <w:p>
      <w:pPr>
        <w:spacing w:after="60"/>
      </w:pPr>
    </w:p>
    <w:p>
      <w:pPr>
        <w:pStyle w:val="Heading2"/>
        <w:spacing w:after="80" w:before="200"/>
      </w:pPr>
      <w:r>
        <w:rPr>
          <w:rFonts w:ascii="Calibri" w:cs="Calibri" w:eastAsia="Calibri" w:hAnsi="Calibri"/>
          <w:b/>
          <w:bCs/>
          <w:color w:val="2E6E7E"/>
          <w:sz w:val="24"/>
          <w:szCs w:val="24"/>
        </w:rPr>
        <w:t xml:space="preserve">Which Claude subscription you'll need</w:t>
      </w:r>
    </w:p>
    <w:p>
      <w:pPr>
        <w:spacing w:after="120" w:line="276"/>
      </w:pPr>
      <w:r>
        <w:rPr>
          <w:rFonts w:ascii="Calibri" w:cs="Calibri" w:eastAsia="Calibri" w:hAnsi="Calibri"/>
          <w:color w:val="222222"/>
          <w:sz w:val="21"/>
          <w:szCs w:val="21"/>
        </w:rPr>
        <w:t xml:space="preserve">Our recommendation: </w:t>
      </w:r>
      <w:r>
        <w:rPr>
          <w:rFonts w:ascii="Calibri" w:cs="Calibri" w:eastAsia="Calibri" w:hAnsi="Calibri"/>
          <w:b/>
          <w:bCs/>
          <w:color w:val="1F3A4D"/>
          <w:sz w:val="21"/>
          <w:szCs w:val="21"/>
        </w:rPr>
        <w:t xml:space="preserve">Claude Pro — about £20 a month</w:t>
      </w:r>
      <w:r>
        <w:rPr>
          <w:rFonts w:ascii="Calibri" w:cs="Calibri" w:eastAsia="Calibri" w:hAnsi="Calibri"/>
          <w:color w:val="222222"/>
          <w:sz w:val="21"/>
          <w:szCs w:val="21"/>
        </w:rPr>
        <w:t xml:space="preserve">. Your five reports fire only a handful of times a month, and each is a short job — read Xero, generate a document, email it and file it. That sits comfortably inside Pro's limits with room to spare, and it is the plan the running-cost figures below assume.</w:t>
      </w:r>
    </w:p>
    <w:p>
      <w:pPr>
        <w:spacing w:after="120" w:line="276"/>
      </w:pPr>
      <w:r>
        <w:rPr>
          <w:rFonts w:ascii="Calibri" w:cs="Calibri" w:eastAsia="Calibri" w:hAnsi="Calibri"/>
          <w:color w:val="222222"/>
          <w:sz w:val="21"/>
          <w:szCs w:val="21"/>
        </w:rPr>
        <w:t xml:space="preserve">You would only want </w:t>
      </w:r>
      <w:r>
        <w:rPr>
          <w:rFonts w:ascii="Calibri" w:cs="Calibri" w:eastAsia="Calibri" w:hAnsi="Calibri"/>
          <w:b/>
          <w:bCs/>
          <w:color w:val="222222"/>
          <w:sz w:val="21"/>
          <w:szCs w:val="21"/>
        </w:rPr>
        <w:t xml:space="preserve">Claude Max (roughly £90+/month)</w:t>
      </w:r>
      <w:r>
        <w:rPr>
          <w:rFonts w:ascii="Calibri" w:cs="Calibri" w:eastAsia="Calibri" w:hAnsi="Calibri"/>
          <w:color w:val="222222"/>
          <w:sz w:val="21"/>
          <w:szCs w:val="21"/>
        </w:rPr>
        <w:t xml:space="preserve"> if you later lean on the optional insight agent very heavily, or add the product-level analysis in Section 11. Our steer: </w:t>
      </w:r>
      <w:r>
        <w:rPr>
          <w:rFonts w:ascii="Calibri" w:cs="Calibri" w:eastAsia="Calibri" w:hAnsi="Calibri"/>
          <w:b/>
          <w:bCs/>
          <w:color w:val="1F3A4D"/>
          <w:sz w:val="21"/>
          <w:szCs w:val="21"/>
        </w:rPr>
        <w:t xml:space="preserve">start on Pro</w:t>
      </w:r>
      <w:r>
        <w:rPr>
          <w:rFonts w:ascii="Calibri" w:cs="Calibri" w:eastAsia="Calibri" w:hAnsi="Calibri"/>
          <w:color w:val="222222"/>
          <w:sz w:val="21"/>
          <w:szCs w:val="21"/>
        </w:rPr>
        <w:t xml:space="preserve">; move up only if you ever hit its limits, which for this workload is unlikely. Plan details do change, so we will confirm the current options with you at kickoff.</w:t>
      </w:r>
    </w:p>
    <w:p>
      <w:pPr>
        <w:spacing w:after="20"/>
      </w:pPr>
    </w:p>
    <w:p>
      <w:pPr>
        <w:spacing w:after="120" w:line="276"/>
      </w:pPr>
      <w:r>
        <w:rPr>
          <w:rFonts w:ascii="Calibri" w:cs="Calibri" w:eastAsia="Calibri" w:hAnsi="Calibri"/>
          <w:b/>
          <w:bCs/>
          <w:color w:val="1F3A4D"/>
          <w:sz w:val="21"/>
          <w:szCs w:val="21"/>
        </w:rPr>
        <w:t xml:space="preserve">One account, one subscription, one place. </w:t>
      </w:r>
      <w:r>
        <w:rPr>
          <w:rFonts w:ascii="Calibri" w:cs="Calibri" w:eastAsia="Calibri" w:hAnsi="Calibri"/>
          <w:color w:val="222222"/>
          <w:sz w:val="21"/>
          <w:szCs w:val="21"/>
        </w:rPr>
        <w:t xml:space="preserve">Everything lives in a single Claude account that you own — the schedules, the connection to Xero, and the delivery to your inbox and drive. There is no second service to sign up for, no separate hosting bill, and no extra login to remember. The schedules run on Anthropic's cloud, so the reports arrive whether or not either of your laptops is open.</w:t>
      </w:r>
    </w:p>
    <w:p>
      <w:pPr>
        <w:spacing w:after="120" w:line="276"/>
      </w:pPr>
      <w:r>
        <w:rPr>
          <w:rFonts w:ascii="Calibri" w:cs="Calibri" w:eastAsia="Calibri" w:hAnsi="Calibri"/>
          <w:b/>
          <w:bCs/>
          <w:color w:val="1F3A4D"/>
          <w:sz w:val="21"/>
          <w:szCs w:val="21"/>
        </w:rPr>
        <w:t xml:space="preserve">Running it after handover — self-managed, as you asked. </w:t>
      </w:r>
      <w:r>
        <w:rPr>
          <w:rFonts w:ascii="Calibri" w:cs="Calibri" w:eastAsia="Calibri" w:hAnsi="Calibri"/>
          <w:color w:val="222222"/>
          <w:sz w:val="21"/>
          <w:szCs w:val="21"/>
        </w:rPr>
        <w:t xml:space="preserve">You own the solution outright, so the only ongoing cost is that one Pro subscription, plus the Xero and Microsoft 365 subscriptions you already pay for. </w:t>
      </w:r>
      <w:r>
        <w:rPr>
          <w:rFonts w:ascii="Calibri" w:cs="Calibri" w:eastAsia="Calibri" w:hAnsi="Calibri"/>
          <w:b/>
          <w:bCs/>
          <w:color w:val="222222"/>
          <w:sz w:val="21"/>
          <w:szCs w:val="21"/>
        </w:rPr>
        <w:t xml:space="preserve">There is no monthly fee to us.</w:t>
      </w:r>
      <w:r>
        <w:rPr>
          <w:rFonts w:ascii="Calibri" w:cs="Calibri" w:eastAsia="Calibri" w:hAnsi="Calibri"/>
          <w:color w:val="222222"/>
          <w:sz w:val="21"/>
          <w:szCs w:val="21"/>
        </w:rPr>
        <w:t xml:space="preserve"> We set everything up in your name at kickoff and hand it over fully documented.</w:t>
      </w:r>
    </w:p>
    <w:p>
      <w:pPr>
        <w:spacing w:after="120" w:line="276"/>
      </w:pPr>
      <w:r>
        <w:rPr>
          <w:rFonts w:ascii="Calibri" w:cs="Calibri" w:eastAsia="Calibri" w:hAnsi="Calibri"/>
          <w:b/>
          <w:bCs/>
          <w:color w:val="1F3A4D"/>
          <w:sz w:val="21"/>
          <w:szCs w:val="21"/>
        </w:rPr>
        <w:t xml:space="preserve">Optional safety net. </w:t>
      </w:r>
      <w:r>
        <w:rPr>
          <w:rFonts w:ascii="Calibri" w:cs="Calibri" w:eastAsia="Calibri" w:hAnsi="Calibri"/>
          <w:color w:val="222222"/>
          <w:sz w:val="21"/>
          <w:szCs w:val="21"/>
        </w:rPr>
        <w:t xml:space="preserve">If you'd like backup for the day something hiccups — say the Xero link needs re-authorising — we offer a light care plan at </w:t>
      </w:r>
      <w:r>
        <w:rPr>
          <w:rFonts w:ascii="Calibri" w:cs="Calibri" w:eastAsia="Calibri" w:hAnsi="Calibri"/>
          <w:b/>
          <w:bCs/>
          <w:color w:val="222222"/>
          <w:sz w:val="21"/>
          <w:szCs w:val="21"/>
        </w:rPr>
        <w:t xml:space="preserve">£75 per quarter</w:t>
      </w:r>
      <w:r>
        <w:rPr>
          <w:rFonts w:ascii="Calibri" w:cs="Calibri" w:eastAsia="Calibri" w:hAnsi="Calibri"/>
          <w:color w:val="222222"/>
          <w:sz w:val="21"/>
          <w:szCs w:val="21"/>
        </w:rPr>
        <w:t xml:space="preserve">: a quarterly health-check that all five routines are firing, a fix for anything that breaks, and small tweaks as your business changes. Entirely optional and cancellable any time.</w:t>
      </w:r>
    </w:p>
    <w:p>
      <w:pPr>
        <w:spacing w:after="120" w:line="276"/>
      </w:pPr>
      <w:r>
        <w:rPr>
          <w:rFonts w:ascii="Calibri" w:cs="Calibri" w:eastAsia="Calibri" w:hAnsi="Calibri"/>
          <w:b/>
          <w:bCs/>
          <w:color w:val="1F3A4D"/>
          <w:sz w:val="21"/>
          <w:szCs w:val="21"/>
        </w:rPr>
        <w:t xml:space="preserve">Payment (build). </w:t>
      </w:r>
      <w:r>
        <w:rPr>
          <w:rFonts w:ascii="Calibri" w:cs="Calibri" w:eastAsia="Calibri" w:hAnsi="Calibri"/>
          <w:color w:val="222222"/>
          <w:sz w:val="21"/>
          <w:szCs w:val="21"/>
        </w:rPr>
        <w:t xml:space="preserve">50% on sign-off to begin, 50% on handover. Our time is roughly six focused working days across the three weeks, quoted as a fixed fee — if something takes us longer, that's on us. </w:t>
      </w:r>
      <w:r>
        <w:rPr>
          <w:rFonts w:ascii="Calibri" w:cs="Calibri" w:eastAsia="Calibri" w:hAnsi="Calibri"/>
          <w:b/>
          <w:bCs/>
          <w:color w:val="222222"/>
          <w:sz w:val="21"/>
          <w:szCs w:val="21"/>
        </w:rPr>
        <w:t xml:space="preserve">All figures exclude VAT.</w:t>
      </w:r>
    </w:p>
    <w:p>
      <w:pPr>
        <w:pStyle w:val="Heading1"/>
        <w:pBdr>
          <w:bottom w:val="single" w:color="C9BFA8" w:sz="8" w:space="6"/>
        </w:pBdr>
        <w:spacing w:after="120" w:before="320"/>
      </w:pPr>
      <w:r>
        <w:rPr>
          <w:rFonts w:ascii="Calibri" w:cs="Calibri" w:eastAsia="Calibri" w:hAnsi="Calibri"/>
          <w:b/>
          <w:bCs/>
          <w:color w:val="1F3A4D"/>
          <w:sz w:val="30"/>
          <w:szCs w:val="30"/>
        </w:rPr>
        <w:t xml:space="preserve">8.  Timeline &amp; milestones</w:t>
      </w:r>
    </w:p>
    <w:p>
      <w:pPr>
        <w:spacing w:after="120" w:line="276"/>
      </w:pPr>
      <w:r>
        <w:rPr>
          <w:rFonts w:ascii="Calibri" w:cs="Calibri" w:eastAsia="Calibri" w:hAnsi="Calibri"/>
          <w:color w:val="222222"/>
          <w:sz w:val="21"/>
          <w:szCs w:val="21"/>
        </w:rPr>
        <w:t xml:space="preserve">A roughly three-week build. Assuming sign-off by </w:t>
      </w:r>
      <w:r>
        <w:rPr>
          <w:rFonts w:ascii="Calibri" w:cs="Calibri" w:eastAsia="Calibri" w:hAnsi="Calibri"/>
          <w:b/>
          <w:bCs/>
          <w:color w:val="222222"/>
          <w:sz w:val="21"/>
          <w:szCs w:val="21"/>
        </w:rPr>
        <w:t xml:space="preserve">Friday 25 July 2026</w:t>
      </w:r>
      <w:r>
        <w:rPr>
          <w:rFonts w:ascii="Calibri" w:cs="Calibri" w:eastAsia="Calibri" w:hAnsi="Calibri"/>
          <w:color w:val="222222"/>
          <w:sz w:val="21"/>
          <w:szCs w:val="21"/>
        </w:rPr>
        <w:t xml:space="preserve"> and kickoff </w:t>
      </w:r>
      <w:r>
        <w:rPr>
          <w:rFonts w:ascii="Calibri" w:cs="Calibri" w:eastAsia="Calibri" w:hAnsi="Calibri"/>
          <w:b/>
          <w:bCs/>
          <w:color w:val="222222"/>
          <w:sz w:val="21"/>
          <w:szCs w:val="21"/>
        </w:rPr>
        <w:t xml:space="preserve">Monday 28 July 2026</w:t>
      </w:r>
      <w:r>
        <w:rPr>
          <w:rFonts w:ascii="Calibri" w:cs="Calibri" w:eastAsia="Calibri" w:hAnsi="Calibri"/>
          <w:color w:val="222222"/>
          <w:sz w:val="21"/>
          <w:szCs w:val="21"/>
        </w:rPr>
        <w:t xml:space="preserve">. If sign-off slips a few days, the schedule shifts with it by the same amount — the sequence and the fixed fee do not change.</w:t>
      </w:r>
    </w:p>
    <w:tbl>
      <w:tblPr>
        <w:tblW w:type="dxa" w:w="9360"/>
        <w:tblBorders>
          <w:top w:val="single" w:color="C9BFA8" w:sz="2"/>
          <w:left w:val="none"/>
          <w:bottom w:val="single" w:color="C9BFA8" w:sz="2"/>
          <w:right w:val="none"/>
          <w:insideH w:val="single" w:color="E4DECF" w:sz="2"/>
          <w:insideV w:val="none"/>
        </w:tblBorders>
      </w:tblPr>
      <w:tblGrid>
        <w:gridCol w:w="1520"/>
        <w:gridCol w:w="3040"/>
        <w:gridCol w:w="3560"/>
        <w:gridCol w:w="1240"/>
      </w:tblGrid>
      <w:tr>
        <w:trPr>
          <w:tblHeader/>
        </w:trPr>
        <w:tc>
          <w:tcPr>
            <w:tcW w:type="dxa" w:w="152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Week</w:t>
            </w:r>
          </w:p>
        </w:tc>
        <w:tc>
          <w:tcPr>
            <w:tcW w:type="dxa" w:w="304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Dates</w:t>
            </w:r>
          </w:p>
        </w:tc>
        <w:tc>
          <w:tcPr>
            <w:tcW w:type="dxa" w:w="356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Focus</w:t>
            </w:r>
          </w:p>
        </w:tc>
        <w:tc>
          <w:tcPr>
            <w:tcW w:type="dxa" w:w="124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Milestone</w:t>
            </w:r>
          </w:p>
        </w:tc>
      </w:tr>
      <w:tr>
        <w:tc>
          <w:tcPr>
            <w:tcW w:type="dxa" w:w="1520"/>
            <w:shd w:fill="F7F4EE" w:color="auto" w:val="clear"/>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Week 1</w:t>
            </w:r>
          </w:p>
        </w:tc>
        <w:tc>
          <w:tcPr>
            <w:tcW w:type="dxa" w:w="304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28 Jul – Fri 1 Aug</w:t>
            </w:r>
          </w:p>
        </w:tc>
        <w:tc>
          <w:tcPr>
            <w:tcW w:type="dxa" w:w="35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Discovery, connect Xero, map accounts, build one report end-to-end</w:t>
            </w:r>
          </w:p>
        </w:tc>
        <w:tc>
          <w:tcPr>
            <w:tcW w:type="dxa" w:w="1240"/>
            <w:shd w:fill="F7F4EE" w:color="auto" w:val="clear"/>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M1 — first report signed off</w:t>
            </w:r>
          </w:p>
        </w:tc>
      </w:tr>
      <w:tr>
        <w:tc>
          <w:tcPr>
            <w:tcW w:type="dxa" w:w="1520"/>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Week 2</w:t>
            </w:r>
          </w:p>
        </w:tc>
        <w:tc>
          <w:tcPr>
            <w:tcW w:type="dxa" w:w="304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4 Aug – Fri 8 Aug</w:t>
            </w:r>
          </w:p>
        </w:tc>
        <w:tc>
          <w:tcPr>
            <w:tcW w:type="dxa" w:w="35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Set up the five routines (weekly → yearly); wire email + drive delivery; founder training &amp; guide</w:t>
            </w:r>
          </w:p>
        </w:tc>
        <w:tc>
          <w:tcPr>
            <w:tcW w:type="dxa" w:w="1240"/>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M2 — automated cadence live</w:t>
            </w:r>
          </w:p>
        </w:tc>
      </w:tr>
      <w:tr>
        <w:tc>
          <w:tcPr>
            <w:tcW w:type="dxa" w:w="1520"/>
            <w:shd w:fill="F7F4EE" w:color="auto" w:val="clear"/>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Week 3</w:t>
            </w:r>
          </w:p>
        </w:tc>
        <w:tc>
          <w:tcPr>
            <w:tcW w:type="dxa" w:w="304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11 Aug – Fri 15 Aug</w:t>
            </w:r>
          </w:p>
        </w:tc>
        <w:tc>
          <w:tcPr>
            <w:tcW w:type="dxa" w:w="35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Hardening, full handover &amp; training (the insight agent is built here only if the upgrade is taken)</w:t>
            </w:r>
          </w:p>
        </w:tc>
        <w:tc>
          <w:tcPr>
            <w:tcW w:type="dxa" w:w="1240"/>
            <w:shd w:fill="F7F4EE" w:color="auto" w:val="clear"/>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M3 — handover &amp; go-live</w:t>
            </w:r>
          </w:p>
        </w:tc>
      </w:tr>
      <w:tr>
        <w:tc>
          <w:tcPr>
            <w:tcW w:type="dxa" w:w="1520"/>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Support</w:t>
            </w:r>
          </w:p>
        </w:tc>
        <w:tc>
          <w:tcPr>
            <w:tcW w:type="dxa" w:w="304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18 Aug – Fri 29 Aug</w:t>
            </w:r>
          </w:p>
        </w:tc>
        <w:tc>
          <w:tcPr>
            <w:tcW w:type="dxa" w:w="35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Two-week defects-only window; then the engagement formally closes</w:t>
            </w:r>
          </w:p>
        </w:tc>
        <w:tc>
          <w:tcPr>
            <w:tcW w:type="dxa" w:w="1240"/>
            <w:tcMar>
              <w:top w:type="dxa" w:w="60"/>
              <w:left w:type="dxa" w:w="110"/>
              <w:bottom w:type="dxa" w:w="60"/>
              <w:right w:type="dxa" w:w="110"/>
            </w:tcMar>
          </w:tcPr>
          <w:p>
            <w:pPr>
              <w:spacing w:after="20" w:before="20"/>
            </w:pPr>
            <w:r>
              <w:rPr>
                <w:rFonts w:ascii="Calibri" w:cs="Calibri" w:eastAsia="Calibri" w:hAnsi="Calibri"/>
                <w:b/>
                <w:bCs/>
                <w:color w:val="1F3A4D"/>
                <w:sz w:val="20"/>
                <w:szCs w:val="20"/>
              </w:rPr>
              <w:t xml:space="preserve">Cut-off — 29 Aug 2026</w:t>
            </w:r>
          </w:p>
        </w:tc>
      </w:tr>
    </w:tbl>
    <w:p>
      <w:pPr>
        <w:spacing w:after="60"/>
      </w:pPr>
    </w:p>
    <w:p>
      <w:pPr>
        <w:spacing w:after="120" w:line="276"/>
      </w:pPr>
      <w:r>
        <w:rPr>
          <w:rFonts w:ascii="Calibri" w:cs="Calibri" w:eastAsia="Calibri" w:hAnsi="Calibri"/>
          <w:b/>
          <w:bCs/>
          <w:color w:val="1F3A4D"/>
          <w:sz w:val="21"/>
          <w:szCs w:val="21"/>
        </w:rPr>
        <w:t xml:space="preserve">After the build. </w:t>
      </w:r>
      <w:r>
        <w:rPr>
          <w:rFonts w:ascii="Calibri" w:cs="Calibri" w:eastAsia="Calibri" w:hAnsi="Calibri"/>
          <w:color w:val="222222"/>
          <w:sz w:val="21"/>
          <w:szCs w:val="21"/>
        </w:rPr>
        <w:t xml:space="preserve">You own the solution outright at handover and run it yourselves. Beyond the two-week defects window, adding the insight agent later, or any other new work, is separately quoted — or take the optional quarterly care plan if you'd like a standing safety net.</w:t>
      </w:r>
    </w:p>
    <w:p>
      <w:pPr>
        <w:pStyle w:val="Heading1"/>
        <w:pBdr>
          <w:bottom w:val="single" w:color="C9BFA8" w:sz="8" w:space="6"/>
        </w:pBdr>
        <w:spacing w:after="120" w:before="320"/>
      </w:pPr>
      <w:r>
        <w:rPr>
          <w:rFonts w:ascii="Calibri" w:cs="Calibri" w:eastAsia="Calibri" w:hAnsi="Calibri"/>
          <w:b/>
          <w:bCs/>
          <w:color w:val="1F3A4D"/>
          <w:sz w:val="30"/>
          <w:szCs w:val="30"/>
        </w:rPr>
        <w:t xml:space="preserve">9.  Assumptions &amp; what's out of scope</w:t>
      </w:r>
    </w:p>
    <w:p>
      <w:pPr>
        <w:spacing w:after="120" w:line="276"/>
      </w:pPr>
      <w:r>
        <w:rPr>
          <w:rFonts w:ascii="Calibri" w:cs="Calibri" w:eastAsia="Calibri" w:hAnsi="Calibri"/>
          <w:color w:val="222222"/>
          <w:sz w:val="21"/>
          <w:szCs w:val="21"/>
        </w:rPr>
        <w:t xml:space="preserve">To keep the fixed price honest and the timeline firm, this engagement assumes:</w:t>
      </w:r>
    </w:p>
    <w:p>
      <w:pPr>
        <w:pStyle w:val="ListParagraph"/>
        <w:numPr>
          <w:ilvl w:val="0"/>
          <w:numId w:val="2"/>
        </w:numPr>
        <w:spacing w:after="60" w:line="272"/>
      </w:pPr>
      <w:r>
        <w:rPr>
          <w:rFonts w:ascii="Calibri" w:cs="Calibri" w:eastAsia="Calibri" w:hAnsi="Calibri"/>
          <w:b/>
          <w:bCs/>
          <w:color w:val="222222"/>
          <w:sz w:val="21"/>
          <w:szCs w:val="21"/>
        </w:rPr>
        <w:t xml:space="preserve">Access is provided at kickoff </w:t>
      </w:r>
      <w:r>
        <w:rPr>
          <w:rFonts w:ascii="Calibri" w:cs="Calibri" w:eastAsia="Calibri" w:hAnsi="Calibri"/>
          <w:color w:val="222222"/>
          <w:sz w:val="21"/>
          <w:szCs w:val="21"/>
        </w:rPr>
        <w:t xml:space="preserve">— Xero (read access is sufficient), the email account the reports should send from, and the shared drive they should be saved into.</w:t>
      </w:r>
    </w:p>
    <w:p>
      <w:pPr>
        <w:pStyle w:val="ListParagraph"/>
        <w:numPr>
          <w:ilvl w:val="0"/>
          <w:numId w:val="2"/>
        </w:numPr>
        <w:spacing w:after="60" w:line="272"/>
      </w:pPr>
      <w:r>
        <w:rPr>
          <w:rFonts w:ascii="Calibri" w:cs="Calibri" w:eastAsia="Calibri" w:hAnsi="Calibri"/>
          <w:b/>
          <w:bCs/>
          <w:color w:val="222222"/>
          <w:sz w:val="21"/>
          <w:szCs w:val="21"/>
        </w:rPr>
        <w:t xml:space="preserve">Figures are shown ex-VAT </w:t>
      </w:r>
      <w:r>
        <w:rPr>
          <w:rFonts w:ascii="Calibri" w:cs="Calibri" w:eastAsia="Calibri" w:hAnsi="Calibri"/>
          <w:color w:val="222222"/>
          <w:sz w:val="21"/>
          <w:szCs w:val="21"/>
        </w:rPr>
        <w:t xml:space="preserve">as management information. Preparing or filing VAT returns is your accountant's job and is out of scope; we can add a VAT summary view later if useful.</w:t>
      </w:r>
    </w:p>
    <w:p>
      <w:pPr>
        <w:pStyle w:val="ListParagraph"/>
        <w:numPr>
          <w:ilvl w:val="0"/>
          <w:numId w:val="2"/>
        </w:numPr>
        <w:spacing w:after="60" w:line="272"/>
      </w:pPr>
      <w:r>
        <w:rPr>
          <w:rFonts w:ascii="Calibri" w:cs="Calibri" w:eastAsia="Calibri" w:hAnsi="Calibri"/>
          <w:b/>
          <w:bCs/>
          <w:color w:val="222222"/>
          <w:sz w:val="21"/>
          <w:szCs w:val="21"/>
        </w:rPr>
        <w:t xml:space="preserve">In-store / POS sales are included only as they reach Xero. </w:t>
      </w:r>
      <w:r>
        <w:rPr>
          <w:rFonts w:ascii="Calibri" w:cs="Calibri" w:eastAsia="Calibri" w:hAnsi="Calibri"/>
          <w:color w:val="222222"/>
          <w:sz w:val="21"/>
          <w:szCs w:val="21"/>
        </w:rPr>
        <w:t xml:space="preserve">Xero does not hold product-level (SKU) detail, so a per-product breakdown is not part of this build — see Section 11.</w:t>
      </w:r>
    </w:p>
    <w:p>
      <w:pPr>
        <w:pStyle w:val="ListParagraph"/>
        <w:numPr>
          <w:ilvl w:val="0"/>
          <w:numId w:val="2"/>
        </w:numPr>
        <w:spacing w:after="60" w:line="272"/>
      </w:pPr>
      <w:r>
        <w:rPr>
          <w:rFonts w:ascii="Calibri" w:cs="Calibri" w:eastAsia="Calibri" w:hAnsi="Calibri"/>
          <w:b/>
          <w:bCs/>
          <w:color w:val="222222"/>
          <w:sz w:val="21"/>
          <w:szCs w:val="21"/>
        </w:rPr>
        <w:t xml:space="preserve">Reports are management information, not audited or statutory accounts, </w:t>
      </w:r>
      <w:r>
        <w:rPr>
          <w:rFonts w:ascii="Calibri" w:cs="Calibri" w:eastAsia="Calibri" w:hAnsi="Calibri"/>
          <w:color w:val="222222"/>
          <w:sz w:val="21"/>
          <w:szCs w:val="21"/>
        </w:rPr>
        <w:t xml:space="preserve">and we do not act as your accountant, do bookkeeping, or file anything with HMRC.</w:t>
      </w:r>
    </w:p>
    <w:p>
      <w:pPr>
        <w:pStyle w:val="ListParagraph"/>
        <w:numPr>
          <w:ilvl w:val="0"/>
          <w:numId w:val="2"/>
        </w:numPr>
        <w:spacing w:after="60" w:line="272"/>
      </w:pPr>
      <w:r>
        <w:rPr>
          <w:rFonts w:ascii="Calibri" w:cs="Calibri" w:eastAsia="Calibri" w:hAnsi="Calibri"/>
          <w:b/>
          <w:bCs/>
          <w:color w:val="222222"/>
          <w:sz w:val="21"/>
          <w:szCs w:val="21"/>
        </w:rPr>
        <w:t xml:space="preserve">Out of scope for this build (quotable separately): </w:t>
      </w:r>
      <w:r>
        <w:rPr>
          <w:rFonts w:ascii="Calibri" w:cs="Calibri" w:eastAsia="Calibri" w:hAnsi="Calibri"/>
          <w:color w:val="222222"/>
          <w:sz w:val="21"/>
          <w:szCs w:val="21"/>
        </w:rPr>
        <w:t xml:space="preserve">the insight-agent upgrade, SKU-level profitability, a live web dashboard, forecasting/budgeting models, and inventory-system integration.</w:t>
      </w:r>
    </w:p>
    <w:p>
      <w:pPr>
        <w:spacing w:after="120" w:line="276"/>
      </w:pPr>
      <w:r>
        <w:rPr>
          <w:rFonts w:ascii="Calibri" w:cs="Calibri" w:eastAsia="Calibri" w:hAnsi="Calibri"/>
          <w:b/>
          <w:bCs/>
          <w:color w:val="1F3A4D"/>
          <w:sz w:val="21"/>
          <w:szCs w:val="21"/>
        </w:rPr>
        <w:t xml:space="preserve">Ownership &amp; data. </w:t>
      </w:r>
      <w:r>
        <w:rPr>
          <w:rFonts w:ascii="Calibri" w:cs="Calibri" w:eastAsia="Calibri" w:hAnsi="Calibri"/>
          <w:color w:val="222222"/>
          <w:sz w:val="21"/>
          <w:szCs w:val="21"/>
        </w:rPr>
        <w:t xml:space="preserve">The report templates and automation we build are yours and transfer to you outright at handover, running under your own account. Your business data stays private to you and is never used to train any models.</w:t>
      </w:r>
    </w:p>
    <w:p>
      <w:pPr>
        <w:pStyle w:val="Heading1"/>
        <w:pBdr>
          <w:bottom w:val="single" w:color="C9BFA8" w:sz="8" w:space="6"/>
        </w:pBdr>
        <w:spacing w:after="120" w:before="320"/>
      </w:pPr>
      <w:r>
        <w:rPr>
          <w:rFonts w:ascii="Calibri" w:cs="Calibri" w:eastAsia="Calibri" w:hAnsi="Calibri"/>
          <w:b/>
          <w:bCs/>
          <w:color w:val="1F3A4D"/>
          <w:sz w:val="30"/>
          <w:szCs w:val="30"/>
        </w:rPr>
        <w:t xml:space="preserve">10.  What we need from you</w:t>
      </w:r>
    </w:p>
    <w:p>
      <w:pPr>
        <w:spacing w:after="120" w:line="276"/>
      </w:pPr>
      <w:r>
        <w:rPr>
          <w:rFonts w:ascii="Calibri" w:cs="Calibri" w:eastAsia="Calibri" w:hAnsi="Calibri"/>
          <w:color w:val="222222"/>
          <w:sz w:val="21"/>
          <w:szCs w:val="21"/>
        </w:rPr>
        <w:t xml:space="preserve">Deliberately minimal — this is the whole list:</w:t>
      </w:r>
    </w:p>
    <w:p>
      <w:pPr>
        <w:pStyle w:val="ListParagraph"/>
        <w:numPr>
          <w:ilvl w:val="0"/>
          <w:numId w:val="4"/>
        </w:numPr>
        <w:spacing w:after="60" w:line="272"/>
      </w:pPr>
      <w:r>
        <w:rPr>
          <w:rFonts w:ascii="Calibri" w:cs="Calibri" w:eastAsia="Calibri" w:hAnsi="Calibri"/>
          <w:color w:val="222222"/>
          <w:sz w:val="21"/>
          <w:szCs w:val="21"/>
        </w:rPr>
        <w:t xml:space="preserve">A short connection step at kickoff for the three accounts involved: Xero (read access), the email address the reports should send from, and the shared drive they should save into. We walk you through each; it takes minutes and access is yours to revoke whenever you like.</w:t>
      </w:r>
    </w:p>
    <w:p>
      <w:pPr>
        <w:pStyle w:val="ListParagraph"/>
        <w:numPr>
          <w:ilvl w:val="0"/>
          <w:numId w:val="4"/>
        </w:numPr>
        <w:spacing w:after="60" w:line="272"/>
      </w:pPr>
      <w:r>
        <w:rPr>
          <w:rFonts w:ascii="Calibri" w:cs="Calibri" w:eastAsia="Calibri" w:hAnsi="Calibri"/>
          <w:color w:val="222222"/>
          <w:sz w:val="21"/>
          <w:szCs w:val="21"/>
        </w:rPr>
        <w:t xml:space="preserve">About 45 minutes on a kickoff call, and a further 30 minutes to review and sign off the first report at Milestone 1.</w:t>
      </w:r>
    </w:p>
    <w:p>
      <w:pPr>
        <w:pStyle w:val="ListParagraph"/>
        <w:numPr>
          <w:ilvl w:val="0"/>
          <w:numId w:val="4"/>
        </w:numPr>
        <w:spacing w:after="60" w:line="272"/>
      </w:pPr>
      <w:r>
        <w:rPr>
          <w:rFonts w:ascii="Calibri" w:cs="Calibri" w:eastAsia="Calibri" w:hAnsi="Calibri"/>
          <w:color w:val="222222"/>
          <w:sz w:val="21"/>
          <w:szCs w:val="21"/>
        </w:rPr>
        <w:t xml:space="preserve">One founder as our point of contact for quick questions during the build. Jonah, we assume that's you.</w:t>
      </w:r>
    </w:p>
    <w:p>
      <w:pPr>
        <w:pStyle w:val="Heading1"/>
        <w:pBdr>
          <w:bottom w:val="single" w:color="C9BFA8" w:sz="8" w:space="6"/>
        </w:pBdr>
        <w:spacing w:after="120" w:before="320"/>
      </w:pPr>
      <w:r>
        <w:rPr>
          <w:rFonts w:ascii="Calibri" w:cs="Calibri" w:eastAsia="Calibri" w:hAnsi="Calibri"/>
          <w:b/>
          <w:bCs/>
          <w:color w:val="1F3A4D"/>
          <w:sz w:val="30"/>
          <w:szCs w:val="30"/>
        </w:rPr>
        <w:t xml:space="preserve">11.  After handover — where this can go</w:t>
      </w:r>
    </w:p>
    <w:p>
      <w:pPr>
        <w:spacing w:after="120" w:line="276"/>
      </w:pPr>
      <w:r>
        <w:rPr>
          <w:rFonts w:ascii="Calibri" w:cs="Calibri" w:eastAsia="Calibri" w:hAnsi="Calibri"/>
          <w:color w:val="222222"/>
          <w:sz w:val="21"/>
          <w:szCs w:val="21"/>
        </w:rPr>
        <w:t xml:space="preserve">Once the reporting runs itself, natural next steps (each separately quoted, none required) include:</w:t>
      </w:r>
    </w:p>
    <w:p>
      <w:pPr>
        <w:pStyle w:val="ListParagraph"/>
        <w:numPr>
          <w:ilvl w:val="0"/>
          <w:numId w:val="2"/>
        </w:numPr>
        <w:spacing w:after="60" w:line="272"/>
      </w:pPr>
      <w:r>
        <w:rPr>
          <w:rFonts w:ascii="Calibri" w:cs="Calibri" w:eastAsia="Calibri" w:hAnsi="Calibri"/>
          <w:b/>
          <w:bCs/>
          <w:color w:val="222222"/>
          <w:sz w:val="21"/>
          <w:szCs w:val="21"/>
        </w:rPr>
        <w:t xml:space="preserve">The proactive insight agent </w:t>
      </w:r>
      <w:r>
        <w:rPr>
          <w:rFonts w:ascii="Calibri" w:cs="Calibri" w:eastAsia="Calibri" w:hAnsi="Calibri"/>
          <w:color w:val="222222"/>
          <w:sz w:val="21"/>
          <w:szCs w:val="21"/>
        </w:rPr>
        <w:t xml:space="preserve">— the optional upgrade above, switched on whenever you're ready (£1,200).</w:t>
      </w:r>
    </w:p>
    <w:p>
      <w:pPr>
        <w:pStyle w:val="ListParagraph"/>
        <w:numPr>
          <w:ilvl w:val="0"/>
          <w:numId w:val="2"/>
        </w:numPr>
        <w:spacing w:after="60" w:line="272"/>
      </w:pPr>
      <w:r>
        <w:rPr>
          <w:rFonts w:ascii="Calibri" w:cs="Calibri" w:eastAsia="Calibri" w:hAnsi="Calibri"/>
          <w:b/>
          <w:bCs/>
          <w:color w:val="222222"/>
          <w:sz w:val="21"/>
          <w:szCs w:val="21"/>
        </w:rPr>
        <w:t xml:space="preserve">SKU-level profitability </w:t>
      </w:r>
      <w:r>
        <w:rPr>
          <w:rFonts w:ascii="Calibri" w:cs="Calibri" w:eastAsia="Calibri" w:hAnsi="Calibri"/>
          <w:color w:val="222222"/>
          <w:sz w:val="21"/>
          <w:szCs w:val="21"/>
        </w:rPr>
        <w:t xml:space="preserve">by connecting your storefront and till data alongside Xero — margin and best-sellers by product line, not just revenue.</w:t>
      </w:r>
    </w:p>
    <w:p>
      <w:pPr>
        <w:pStyle w:val="ListParagraph"/>
        <w:numPr>
          <w:ilvl w:val="0"/>
          <w:numId w:val="2"/>
        </w:numPr>
        <w:spacing w:after="60" w:line="272"/>
      </w:pPr>
      <w:r>
        <w:rPr>
          <w:rFonts w:ascii="Calibri" w:cs="Calibri" w:eastAsia="Calibri" w:hAnsi="Calibri"/>
          <w:color w:val="222222"/>
          <w:sz w:val="21"/>
          <w:szCs w:val="21"/>
        </w:rPr>
        <w:t xml:space="preserve">A simple 12-month cash-flow and sales forecast built on the same clean data.</w:t>
      </w:r>
    </w:p>
    <w:p>
      <w:pPr>
        <w:pStyle w:val="ListParagraph"/>
        <w:numPr>
          <w:ilvl w:val="0"/>
          <w:numId w:val="2"/>
        </w:numPr>
        <w:spacing w:after="60" w:line="272"/>
      </w:pPr>
      <w:r>
        <w:rPr>
          <w:rFonts w:ascii="Calibri" w:cs="Calibri" w:eastAsia="Calibri" w:hAnsi="Calibri"/>
          <w:color w:val="222222"/>
          <w:sz w:val="21"/>
          <w:szCs w:val="21"/>
        </w:rPr>
        <w:t xml:space="preserve">A light live dashboard for when you want to glance rather than read.</w:t>
      </w:r>
    </w:p>
    <w:p>
      <w:pPr>
        <w:pStyle w:val="Heading1"/>
        <w:pBdr>
          <w:bottom w:val="single" w:color="C9BFA8" w:sz="8" w:space="6"/>
        </w:pBdr>
        <w:spacing w:after="120" w:before="320"/>
      </w:pPr>
      <w:r>
        <w:rPr>
          <w:rFonts w:ascii="Calibri" w:cs="Calibri" w:eastAsia="Calibri" w:hAnsi="Calibri"/>
          <w:b/>
          <w:bCs/>
          <w:color w:val="1F3A4D"/>
          <w:sz w:val="30"/>
          <w:szCs w:val="30"/>
        </w:rPr>
        <w:t xml:space="preserve">12.  Acceptance</w:t>
      </w:r>
    </w:p>
    <w:p>
      <w:pPr>
        <w:spacing w:after="120" w:line="276"/>
      </w:pPr>
      <w:r>
        <w:rPr>
          <w:rFonts w:ascii="Calibri" w:cs="Calibri" w:eastAsia="Calibri" w:hAnsi="Calibri"/>
          <w:color w:val="222222"/>
          <w:sz w:val="21"/>
          <w:szCs w:val="21"/>
        </w:rPr>
        <w:t xml:space="preserve">To proceed, tick your choice below and reply to confirm — we'll send a one-page agreement and the kickoff invite. Sign-off by 25 July keeps us on the timeline above.</w:t>
      </w:r>
    </w:p>
    <w:p>
      <w:pPr>
        <w:spacing w:after="120"/>
      </w:pPr>
    </w:p>
    <w:tbl>
      <w:tblPr>
        <w:tblW w:type="dxa" w:w="9360"/>
        <w:tblBorders>
          <w:top w:val="single" w:color="C9BFA8" w:sz="2"/>
          <w:left w:val="none"/>
          <w:bottom w:val="single" w:color="C9BFA8" w:sz="2"/>
          <w:right w:val="none"/>
          <w:insideH w:val="single" w:color="E4DECF" w:sz="2"/>
          <w:insideV w:val="none"/>
        </w:tblBorders>
      </w:tblPr>
      <w:tblGrid>
        <w:gridCol w:w="3000"/>
        <w:gridCol w:w="6360"/>
      </w:tblGrid>
      <w:tr>
        <w:tc>
          <w:tcPr>
            <w:tcW w:type="dxa" w:w="3000"/>
            <w:tcMar>
              <w:top w:type="dxa" w:w="60"/>
              <w:left w:type="dxa" w:w="110"/>
              <w:bottom w:type="dxa" w:w="60"/>
              <w:right w:type="dxa" w:w="110"/>
            </w:tcMar>
          </w:tcPr>
          <w:p>
            <w:pPr>
              <w:spacing w:after="20" w:before="20"/>
            </w:pPr>
            <w:r>
              <w:rPr>
                <w:rFonts w:ascii="Calibri" w:cs="Calibri" w:eastAsia="Calibri" w:hAnsi="Calibri"/>
                <w:b/>
                <w:bCs/>
                <w:color w:val="1F3A4D"/>
                <w:sz w:val="20"/>
                <w:szCs w:val="20"/>
              </w:rPr>
              <w:t xml:space="preserve">Selected</w:t>
            </w:r>
          </w:p>
        </w:tc>
        <w:tc>
          <w:tcPr>
            <w:tcW w:type="dxa" w:w="63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  Core (£3,200)      □  add the insight-agent upgrade now (+£1,200)      □  add care plan (£75/qtr)</w:t>
            </w:r>
          </w:p>
        </w:tc>
      </w:tr>
    </w:tbl>
    <w:p>
      <w:pPr>
        <w:spacing w:after="160"/>
      </w:pPr>
    </w:p>
    <w:tbl>
      <w:tblPr>
        <w:tblW w:type="dxa" w:w="9360"/>
        <w:tblBorders>
          <w:top w:val="single" w:color="C9BFA8" w:sz="2"/>
          <w:left w:val="none"/>
          <w:bottom w:val="single" w:color="C9BFA8" w:sz="2"/>
          <w:right w:val="none"/>
          <w:insideH w:val="single" w:color="E4DECF" w:sz="2"/>
          <w:insideV w:val="none"/>
        </w:tblBorders>
      </w:tblPr>
      <w:tblGrid>
        <w:gridCol w:w="4680"/>
        <w:gridCol w:w="4680"/>
      </w:tblGrid>
      <w:tr>
        <w:tc>
          <w:tcPr>
            <w:tcW w:type="dxa" w:w="4680"/>
            <w:tcMar>
              <w:top w:type="dxa" w:w="60"/>
              <w:left w:type="dxa" w:w="110"/>
              <w:bottom w:type="dxa" w:w="60"/>
              <w:right w:type="dxa" w:w="110"/>
            </w:tcMar>
          </w:tcPr>
          <w:p>
            <w:pPr>
              <w:spacing w:after="260"/>
            </w:pPr>
          </w:p>
          <w:p>
            <w:pPr>
              <w:pBdr>
                <w:top w:val="single" w:color="888888" w:sz="4"/>
              </w:pBdr>
            </w:pPr>
            <w:r>
              <w:rPr>
                <w:rFonts w:ascii="Calibri" w:cs="Calibri" w:eastAsia="Calibri" w:hAnsi="Calibri"/>
                <w:color w:val="5A5A5A"/>
                <w:sz w:val="18"/>
                <w:szCs w:val="18"/>
              </w:rPr>
              <w:t xml:space="preserve">Signed, for Thread &amp; Salt</w:t>
            </w:r>
          </w:p>
        </w:tc>
        <w:tc>
          <w:tcPr>
            <w:tcW w:type="dxa" w:w="4680"/>
            <w:tcMar>
              <w:top w:type="dxa" w:w="60"/>
              <w:left w:type="dxa" w:w="110"/>
              <w:bottom w:type="dxa" w:w="60"/>
              <w:right w:type="dxa" w:w="110"/>
            </w:tcMar>
          </w:tcPr>
          <w:p>
            <w:pPr>
              <w:spacing w:after="260"/>
            </w:pPr>
          </w:p>
          <w:p>
            <w:pPr>
              <w:pBdr>
                <w:top w:val="single" w:color="888888" w:sz="4"/>
              </w:pBdr>
            </w:pPr>
            <w:r>
              <w:rPr>
                <w:rFonts w:ascii="Calibri" w:cs="Calibri" w:eastAsia="Calibri" w:hAnsi="Calibri"/>
                <w:color w:val="5A5A5A"/>
                <w:sz w:val="18"/>
                <w:szCs w:val="18"/>
              </w:rPr>
              <w:t xml:space="preserve">Date</w:t>
            </w:r>
          </w:p>
        </w:tc>
      </w:tr>
    </w:tbl>
    <w:p>
      <w:pPr>
        <w:spacing w:after="200"/>
      </w:pPr>
    </w:p>
    <w:p>
      <w:pPr>
        <w:spacing w:before="200"/>
        <w:jc w:val="center"/>
      </w:pPr>
      <w:r>
        <w:rPr>
          <w:rFonts w:ascii="Calibri" w:cs="Calibri" w:eastAsia="Calibri" w:hAnsi="Calibri"/>
          <w:color w:val="5A5A5A"/>
          <w:sz w:val="16"/>
          <w:szCs w:val="16"/>
        </w:rPr>
        <w:t xml:space="preserve">Shyam Jagani  ·  Negative Zero  ·  shyam.jagani@negativezero.com</w:t>
      </w:r>
    </w:p>
    <w:p>
      <w:pPr>
        <w:sectPr>
          <w:headerReference w:type="default" r:id="rId7"/>
          <w:footerReference w:type="default" r:id="rId8"/>
          <w:pgSz w:w="12240" w:h="15840" w:orient="portrait"/>
          <w:pgMar w:top="1440" w:right="1440" w:bottom="1260" w:left="1440" w:header="708" w:footer="708" w:gutter="0"/>
          <w:pgNumType/>
          <w:docGrid w:linePitch="360"/>
        </w:sectPr>
      </w:pPr>
    </w:p>
    <w:p>
      <w:pPr>
        <w:spacing w:after="40"/>
      </w:pPr>
      <w:r>
        <w:rPr>
          <w:rFonts w:ascii="Calibri" w:cs="Calibri" w:eastAsia="Calibri" w:hAnsi="Calibri"/>
          <w:b/>
          <w:bCs/>
          <w:color w:val="2E6E7E"/>
          <w:spacing w:val="40"/>
          <w:sz w:val="18"/>
          <w:szCs w:val="18"/>
        </w:rPr>
        <w:t xml:space="preserve">APPENDIX A</w:t>
      </w:r>
    </w:p>
    <w:p>
      <w:pPr>
        <w:pBdr>
          <w:bottom w:val="single" w:color="C9BFA8" w:sz="6" w:space="6"/>
        </w:pBdr>
        <w:spacing w:after="150"/>
      </w:pPr>
      <w:r>
        <w:rPr>
          <w:rFonts w:ascii="Calibri" w:cs="Calibri" w:eastAsia="Calibri" w:hAnsi="Calibri"/>
          <w:i/>
          <w:iCs/>
          <w:color w:val="5A5A5A"/>
          <w:sz w:val="18"/>
          <w:szCs w:val="18"/>
        </w:rPr>
        <w:t xml:space="preserve">The exact report you receive. What follows is the live pack itself — same layout, same figures, delivered to your inbox and drive each period. Reproduced here from your real data.</w:t>
      </w:r>
    </w:p>
    <w:p>
      <w:pPr>
        <w:spacing w:after="40" w:before="120"/>
      </w:pPr>
      <w:r>
        <w:rPr>
          <w:rFonts w:ascii="Calibri" w:cs="Calibri" w:eastAsia="Calibri" w:hAnsi="Calibri"/>
          <w:b/>
          <w:bCs/>
          <w:color w:val="1F3A4D"/>
          <w:sz w:val="46"/>
          <w:szCs w:val="46"/>
        </w:rPr>
        <w:t xml:space="preserve">Management Accounts</w:t>
      </w:r>
    </w:p>
    <w:p>
      <w:pPr>
        <w:spacing w:after="30"/>
      </w:pPr>
      <w:r>
        <w:rPr>
          <w:rFonts w:ascii="Calibri" w:cs="Calibri" w:eastAsia="Calibri" w:hAnsi="Calibri"/>
          <w:i/>
          <w:iCs/>
          <w:color w:val="2E6E7E"/>
          <w:sz w:val="22"/>
          <w:szCs w:val="22"/>
        </w:rPr>
        <w:t xml:space="preserve">The shape every week, month, quarter and year will arrive in</w:t>
      </w:r>
    </w:p>
    <w:p>
      <w:pPr>
        <w:pBdr>
          <w:bottom w:val="single" w:color="C9BFA8" w:sz="10" w:space="6"/>
        </w:pBdr>
        <w:spacing w:after="150"/>
      </w:pPr>
      <w:r>
        <w:rPr>
          <w:rFonts w:ascii="Calibri" w:cs="Calibri" w:eastAsia="Calibri" w:hAnsi="Calibri"/>
          <w:color w:val="5A5A5A"/>
          <w:sz w:val="17"/>
          <w:szCs w:val="17"/>
        </w:rPr>
        <w:t xml:space="preserve">Period covered: FY2024 – FY2026 year-to-date (through July 2026)  ·  Currency: GBP  ·  Basis: management information</w:t>
      </w:r>
    </w:p>
    <w:p>
      <w:pPr>
        <w:pStyle w:val="Heading1"/>
        <w:pBdr>
          <w:bottom w:val="single" w:color="C9BFA8" w:sz="8" w:space="6"/>
        </w:pBdr>
        <w:spacing w:after="110" w:before="300"/>
      </w:pPr>
      <w:r>
        <w:rPr>
          <w:rFonts w:ascii="Calibri" w:cs="Calibri" w:eastAsia="Calibri" w:hAnsi="Calibri"/>
          <w:b/>
          <w:bCs/>
          <w:color w:val="1F3A4D"/>
          <w:sz w:val="28"/>
          <w:szCs w:val="28"/>
        </w:rPr>
        <w:t xml:space="preserve">At a glance</w:t>
      </w:r>
    </w:p>
    <w:p>
      <w:pPr>
        <w:spacing w:after="120" w:line="276"/>
      </w:pPr>
      <w:r>
        <w:rPr>
          <w:rFonts w:ascii="Calibri" w:cs="Calibri" w:eastAsia="Calibri" w:hAnsi="Calibri"/>
          <w:color w:val="222222"/>
          <w:sz w:val="21"/>
          <w:szCs w:val="21"/>
        </w:rPr>
        <w:t xml:space="preserve">Thread &amp; Salt is profitable and growing. Full-year 2025 revenue reached </w:t>
      </w:r>
      <w:r>
        <w:rPr>
          <w:rFonts w:ascii="Calibri" w:cs="Calibri" w:eastAsia="Calibri" w:hAnsi="Calibri"/>
          <w:b/>
          <w:bCs/>
          <w:color w:val="222222"/>
          <w:sz w:val="21"/>
          <w:szCs w:val="21"/>
        </w:rPr>
        <w:t xml:space="preserve">£638,802</w:t>
      </w:r>
      <w:r>
        <w:rPr>
          <w:rFonts w:ascii="Calibri" w:cs="Calibri" w:eastAsia="Calibri" w:hAnsi="Calibri"/>
          <w:color w:val="222222"/>
          <w:sz w:val="21"/>
          <w:szCs w:val="21"/>
        </w:rPr>
        <w:t xml:space="preserve"> — up </w:t>
      </w:r>
      <w:r>
        <w:rPr>
          <w:rFonts w:ascii="Calibri" w:cs="Calibri" w:eastAsia="Calibri" w:hAnsi="Calibri"/>
          <w:b/>
          <w:bCs/>
          <w:color w:val="3B6E4B"/>
          <w:sz w:val="21"/>
          <w:szCs w:val="21"/>
        </w:rPr>
        <w:t xml:space="preserve">8.5%</w:t>
      </w:r>
      <w:r>
        <w:rPr>
          <w:rFonts w:ascii="Calibri" w:cs="Calibri" w:eastAsia="Calibri" w:hAnsi="Calibri"/>
          <w:color w:val="222222"/>
          <w:sz w:val="21"/>
          <w:szCs w:val="21"/>
        </w:rPr>
        <w:t xml:space="preserve"> on 2024 — at a healthy and stable net margin. The figures below are the automated snapshot that heads every pack.</w:t>
      </w:r>
    </w:p>
    <w:p>
      <w:pPr>
        <w:spacing w:after="40"/>
      </w:pPr>
    </w:p>
    <w:tbl>
      <w:tblPr>
        <w:tblW w:type="dxa" w:w="9360"/>
        <w:tblBorders>
          <w:top w:val="none"/>
          <w:left w:val="none"/>
          <w:bottom w:val="none"/>
          <w:right w:val="none"/>
          <w:insideH w:val="single" w:color="FFFFFF" w:sz="8"/>
          <w:insideV w:val="single" w:color="FFFFFF" w:sz="8"/>
        </w:tblBorders>
      </w:tblPr>
      <w:tblGrid>
        <w:gridCol w:w="2340"/>
        <w:gridCol w:w="2340"/>
        <w:gridCol w:w="2340"/>
        <w:gridCol w:w="2340"/>
      </w:tblGrid>
      <w:tr>
        <w:tc>
          <w:tcPr>
            <w:tcW w:type="dxa" w:w="2340"/>
            <w:shd w:fill="F1ECE2" w:color="auto" w:val="clear"/>
            <w:tcMar>
              <w:top w:type="dxa" w:w="120"/>
              <w:left w:type="dxa" w:w="130"/>
              <w:bottom w:type="dxa" w:w="120"/>
              <w:right w:type="dxa" w:w="130"/>
            </w:tcMar>
          </w:tcPr>
          <w:p>
            <w:pPr>
              <w:spacing w:after="20"/>
            </w:pPr>
            <w:r>
              <w:rPr>
                <w:rFonts w:ascii="Calibri" w:cs="Calibri" w:eastAsia="Calibri" w:hAnsi="Calibri"/>
                <w:caps/>
                <w:color w:val="5A5A5A"/>
                <w:spacing w:val="20"/>
                <w:sz w:val="15"/>
                <w:szCs w:val="15"/>
              </w:rPr>
              <w:t xml:space="preserve">Revenue FY2025</w:t>
            </w:r>
          </w:p>
          <w:p>
            <w:pPr>
              <w:spacing w:after="20"/>
            </w:pPr>
            <w:r>
              <w:rPr>
                <w:rFonts w:ascii="Calibri" w:cs="Calibri" w:eastAsia="Calibri" w:hAnsi="Calibri"/>
                <w:b/>
                <w:bCs/>
                <w:color w:val="1F3A4D"/>
                <w:sz w:val="30"/>
                <w:szCs w:val="30"/>
              </w:rPr>
              <w:t xml:space="preserve">£638,802</w:t>
            </w:r>
          </w:p>
          <w:p>
            <w:r>
              <w:rPr>
                <w:rFonts w:ascii="Calibri" w:cs="Calibri" w:eastAsia="Calibri" w:hAnsi="Calibri"/>
                <w:b/>
                <w:bCs/>
                <w:color w:val="3B6E4B"/>
                <w:sz w:val="16"/>
                <w:szCs w:val="16"/>
              </w:rPr>
              <w:t xml:space="preserve">▲ 8.5% vs FY2024</w:t>
            </w:r>
          </w:p>
        </w:tc>
        <w:tc>
          <w:tcPr>
            <w:tcW w:type="dxa" w:w="2340"/>
            <w:shd w:fill="F1ECE2" w:color="auto" w:val="clear"/>
            <w:tcMar>
              <w:top w:type="dxa" w:w="120"/>
              <w:left w:type="dxa" w:w="130"/>
              <w:bottom w:type="dxa" w:w="120"/>
              <w:right w:type="dxa" w:w="130"/>
            </w:tcMar>
          </w:tcPr>
          <w:p>
            <w:pPr>
              <w:spacing w:after="20"/>
            </w:pPr>
            <w:r>
              <w:rPr>
                <w:rFonts w:ascii="Calibri" w:cs="Calibri" w:eastAsia="Calibri" w:hAnsi="Calibri"/>
                <w:caps/>
                <w:color w:val="5A5A5A"/>
                <w:spacing w:val="20"/>
                <w:sz w:val="15"/>
                <w:szCs w:val="15"/>
              </w:rPr>
              <w:t xml:space="preserve">Gross margin</w:t>
            </w:r>
          </w:p>
          <w:p>
            <w:pPr>
              <w:spacing w:after="20"/>
            </w:pPr>
            <w:r>
              <w:rPr>
                <w:rFonts w:ascii="Calibri" w:cs="Calibri" w:eastAsia="Calibri" w:hAnsi="Calibri"/>
                <w:b/>
                <w:bCs/>
                <w:color w:val="1F3A4D"/>
                <w:sz w:val="30"/>
                <w:szCs w:val="30"/>
              </w:rPr>
              <w:t xml:space="preserve">58%</w:t>
            </w:r>
          </w:p>
          <w:p>
            <w:r>
              <w:rPr>
                <w:rFonts w:ascii="Calibri" w:cs="Calibri" w:eastAsia="Calibri" w:hAnsi="Calibri"/>
                <w:b/>
                <w:bCs/>
                <w:color w:val="2E6E7E"/>
                <w:sz w:val="16"/>
                <w:szCs w:val="16"/>
              </w:rPr>
              <w:t xml:space="preserve">Steady, all periods</w:t>
            </w:r>
          </w:p>
        </w:tc>
        <w:tc>
          <w:tcPr>
            <w:tcW w:type="dxa" w:w="2340"/>
            <w:shd w:fill="F1ECE2" w:color="auto" w:val="clear"/>
            <w:tcMar>
              <w:top w:type="dxa" w:w="120"/>
              <w:left w:type="dxa" w:w="130"/>
              <w:bottom w:type="dxa" w:w="120"/>
              <w:right w:type="dxa" w:w="130"/>
            </w:tcMar>
          </w:tcPr>
          <w:p>
            <w:pPr>
              <w:spacing w:after="20"/>
            </w:pPr>
            <w:r>
              <w:rPr>
                <w:rFonts w:ascii="Calibri" w:cs="Calibri" w:eastAsia="Calibri" w:hAnsi="Calibri"/>
                <w:caps/>
                <w:color w:val="5A5A5A"/>
                <w:spacing w:val="20"/>
                <w:sz w:val="15"/>
                <w:szCs w:val="15"/>
              </w:rPr>
              <w:t xml:space="preserve">Net profit FY2025</w:t>
            </w:r>
          </w:p>
          <w:p>
            <w:pPr>
              <w:spacing w:after="20"/>
            </w:pPr>
            <w:r>
              <w:rPr>
                <w:rFonts w:ascii="Calibri" w:cs="Calibri" w:eastAsia="Calibri" w:hAnsi="Calibri"/>
                <w:b/>
                <w:bCs/>
                <w:color w:val="1F3A4D"/>
                <w:sz w:val="30"/>
                <w:szCs w:val="30"/>
              </w:rPr>
              <w:t xml:space="preserve">£147,823</w:t>
            </w:r>
          </w:p>
          <w:p>
            <w:r>
              <w:rPr>
                <w:rFonts w:ascii="Calibri" w:cs="Calibri" w:eastAsia="Calibri" w:hAnsi="Calibri"/>
                <w:b/>
                <w:bCs/>
                <w:color w:val="2E6E7E"/>
                <w:sz w:val="16"/>
                <w:szCs w:val="16"/>
              </w:rPr>
              <w:t xml:space="preserve">23.1% net margin</w:t>
            </w:r>
          </w:p>
        </w:tc>
        <w:tc>
          <w:tcPr>
            <w:tcW w:type="dxa" w:w="2340"/>
            <w:shd w:fill="F1ECE2" w:color="auto" w:val="clear"/>
            <w:tcMar>
              <w:top w:type="dxa" w:w="120"/>
              <w:left w:type="dxa" w:w="130"/>
              <w:bottom w:type="dxa" w:w="120"/>
              <w:right w:type="dxa" w:w="130"/>
            </w:tcMar>
          </w:tcPr>
          <w:p>
            <w:pPr>
              <w:spacing w:after="20"/>
            </w:pPr>
            <w:r>
              <w:rPr>
                <w:rFonts w:ascii="Calibri" w:cs="Calibri" w:eastAsia="Calibri" w:hAnsi="Calibri"/>
                <w:caps/>
                <w:color w:val="5A5A5A"/>
                <w:spacing w:val="20"/>
                <w:sz w:val="15"/>
                <w:szCs w:val="15"/>
              </w:rPr>
              <w:t xml:space="preserve">Rev / unit</w:t>
            </w:r>
          </w:p>
          <w:p>
            <w:pPr>
              <w:spacing w:after="20"/>
            </w:pPr>
            <w:r>
              <w:rPr>
                <w:rFonts w:ascii="Calibri" w:cs="Calibri" w:eastAsia="Calibri" w:hAnsi="Calibri"/>
                <w:b/>
                <w:bCs/>
                <w:color w:val="1F3A4D"/>
                <w:sz w:val="30"/>
                <w:szCs w:val="30"/>
              </w:rPr>
              <w:t xml:space="preserve">≈ £64</w:t>
            </w:r>
          </w:p>
          <w:p>
            <w:r>
              <w:rPr>
                <w:rFonts w:ascii="Calibri" w:cs="Calibri" w:eastAsia="Calibri" w:hAnsi="Calibri"/>
                <w:b/>
                <w:bCs/>
                <w:color w:val="2E6E7E"/>
                <w:sz w:val="16"/>
                <w:szCs w:val="16"/>
              </w:rPr>
              <w:t xml:space="preserve">Stable pricing power</w:t>
            </w:r>
          </w:p>
        </w:tc>
      </w:tr>
    </w:tbl>
    <w:p>
      <w:pPr>
        <w:spacing w:after="120"/>
      </w:pPr>
    </w:p>
    <w:p>
      <w:pPr>
        <w:pStyle w:val="Heading1"/>
        <w:pBdr>
          <w:bottom w:val="single" w:color="C9BFA8" w:sz="8" w:space="6"/>
        </w:pBdr>
        <w:spacing w:after="110" w:before="300"/>
      </w:pPr>
      <w:r>
        <w:rPr>
          <w:rFonts w:ascii="Calibri" w:cs="Calibri" w:eastAsia="Calibri" w:hAnsi="Calibri"/>
          <w:b/>
          <w:bCs/>
          <w:color w:val="1F3A4D"/>
          <w:sz w:val="28"/>
          <w:szCs w:val="28"/>
        </w:rPr>
        <w:t xml:space="preserve">Profit &amp; loss summary</w:t>
      </w:r>
    </w:p>
    <w:p>
      <w:pPr>
        <w:spacing w:after="120" w:line="276"/>
      </w:pPr>
      <w:r>
        <w:rPr>
          <w:rFonts w:ascii="Calibri" w:cs="Calibri" w:eastAsia="Calibri" w:hAnsi="Calibri"/>
          <w:color w:val="222222"/>
          <w:sz w:val="21"/>
          <w:szCs w:val="21"/>
        </w:rPr>
        <w:t xml:space="preserve">Revenue, cost of goods, operating costs and profit, at annual level. FY2026 is year-to-date through July, so it is a part-year figure and not directly comparable to the full years.</w:t>
      </w:r>
    </w:p>
    <w:tbl>
      <w:tblPr>
        <w:tblW w:type="dxa" w:w="9360"/>
        <w:tblBorders>
          <w:top w:val="single" w:color="C9BFA8" w:sz="2"/>
          <w:left w:val="none"/>
          <w:bottom w:val="single" w:color="C9BFA8" w:sz="2"/>
          <w:right w:val="none"/>
          <w:insideH w:val="single" w:color="E4DECF" w:sz="2"/>
          <w:insideV w:val="none"/>
        </w:tblBorders>
      </w:tblPr>
      <w:tblGrid>
        <w:gridCol w:w="3360"/>
        <w:gridCol w:w="2000"/>
        <w:gridCol w:w="2000"/>
        <w:gridCol w:w="2000"/>
      </w:tblGrid>
      <w:tr>
        <w:trPr>
          <w:tblHeader/>
        </w:trPr>
        <w:tc>
          <w:tcPr>
            <w:tcW w:type="dxa" w:w="336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w:t>
            </w:r>
          </w:p>
        </w:tc>
        <w:tc>
          <w:tcPr>
            <w:tcW w:type="dxa" w:w="200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20"/>
                <w:szCs w:val="20"/>
              </w:rPr>
              <w:t xml:space="preserve">FY2024</w:t>
            </w:r>
          </w:p>
        </w:tc>
        <w:tc>
          <w:tcPr>
            <w:tcW w:type="dxa" w:w="200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20"/>
                <w:szCs w:val="20"/>
              </w:rPr>
              <w:t xml:space="preserve">FY2025</w:t>
            </w:r>
          </w:p>
        </w:tc>
        <w:tc>
          <w:tcPr>
            <w:tcW w:type="dxa" w:w="200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20"/>
                <w:szCs w:val="20"/>
              </w:rPr>
              <w:t xml:space="preserve">FY2026 YTD</w:t>
            </w:r>
          </w:p>
        </w:tc>
      </w:tr>
      <w:tr>
        <w:tc>
          <w:tcPr>
            <w:tcW w:type="dxa" w:w="3360"/>
            <w:shd w:fill="F7F4EE" w:color="auto" w:val="clear"/>
            <w:tcMar>
              <w:top w:type="dxa" w:w="60"/>
              <w:left w:type="dxa" w:w="110"/>
              <w:bottom w:type="dxa" w:w="60"/>
              <w:right w:type="dxa" w:w="110"/>
            </w:tcMar>
          </w:tcPr>
          <w:p>
            <w:pPr>
              <w:spacing w:after="20" w:before="20"/>
            </w:pPr>
            <w:r>
              <w:rPr>
                <w:rFonts w:ascii="Calibri" w:cs="Calibri" w:eastAsia="Calibri" w:hAnsi="Calibri"/>
                <w:b/>
                <w:bCs/>
                <w:color w:val="222222"/>
                <w:sz w:val="19"/>
                <w:szCs w:val="19"/>
              </w:rPr>
              <w:t xml:space="preserve">Revenue</w:t>
            </w:r>
          </w:p>
        </w:tc>
        <w:tc>
          <w:tcPr>
            <w:tcW w:type="dxa" w:w="200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222222"/>
                <w:sz w:val="19"/>
                <w:szCs w:val="19"/>
              </w:rPr>
              <w:t xml:space="preserve">£588,800</w:t>
            </w:r>
          </w:p>
        </w:tc>
        <w:tc>
          <w:tcPr>
            <w:tcW w:type="dxa" w:w="200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222222"/>
                <w:sz w:val="19"/>
                <w:szCs w:val="19"/>
              </w:rPr>
              <w:t xml:space="preserve">£638,802</w:t>
            </w:r>
          </w:p>
        </w:tc>
        <w:tc>
          <w:tcPr>
            <w:tcW w:type="dxa" w:w="200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222222"/>
                <w:sz w:val="19"/>
                <w:szCs w:val="19"/>
              </w:rPr>
              <w:t xml:space="preserve">£347,342</w:t>
            </w:r>
          </w:p>
        </w:tc>
      </w:tr>
      <w:tr>
        <w:tc>
          <w:tcPr>
            <w:tcW w:type="dxa" w:w="3360"/>
            <w:tcMar>
              <w:top w:type="dxa" w:w="60"/>
              <w:left w:type="dxa" w:w="110"/>
              <w:bottom w:type="dxa" w:w="60"/>
              <w:right w:type="dxa" w:w="110"/>
            </w:tcMar>
          </w:tcPr>
          <w:p>
            <w:pPr>
              <w:spacing w:after="20" w:before="20"/>
            </w:pPr>
            <w:r>
              <w:rPr>
                <w:rFonts w:ascii="Calibri" w:cs="Calibri" w:eastAsia="Calibri" w:hAnsi="Calibri"/>
                <w:color w:val="222222"/>
                <w:sz w:val="19"/>
                <w:szCs w:val="19"/>
              </w:rPr>
              <w:t xml:space="preserve">   Cost of goods sold</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£247,296</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£268,297</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£145,884</w:t>
            </w:r>
          </w:p>
        </w:tc>
      </w:tr>
      <w:tr>
        <w:tc>
          <w:tcPr>
            <w:tcW w:type="dxa" w:w="3360"/>
            <w:tcMar>
              <w:top w:type="dxa" w:w="60"/>
              <w:left w:type="dxa" w:w="110"/>
              <w:bottom w:type="dxa" w:w="60"/>
              <w:right w:type="dxa" w:w="110"/>
            </w:tcMar>
          </w:tcPr>
          <w:p>
            <w:pPr>
              <w:spacing w:after="20" w:before="20"/>
            </w:pPr>
            <w:r>
              <w:rPr>
                <w:rFonts w:ascii="Calibri" w:cs="Calibri" w:eastAsia="Calibri" w:hAnsi="Calibri"/>
                <w:b/>
                <w:bCs/>
                <w:color w:val="1F3A4D"/>
                <w:sz w:val="19"/>
                <w:szCs w:val="19"/>
              </w:rPr>
              <w:t xml:space="preserve">Gross profit</w:t>
            </w:r>
          </w:p>
        </w:tc>
        <w:tc>
          <w:tcPr>
            <w:tcW w:type="dxa" w:w="2000"/>
            <w:tcMar>
              <w:top w:type="dxa" w:w="60"/>
              <w:left w:type="dxa" w:w="110"/>
              <w:bottom w:type="dxa" w:w="60"/>
              <w:right w:type="dxa" w:w="110"/>
            </w:tcMar>
          </w:tcPr>
          <w:p>
            <w:pPr>
              <w:spacing w:after="20" w:before="20"/>
              <w:jc w:val="right"/>
            </w:pPr>
            <w:r>
              <w:rPr>
                <w:rFonts w:ascii="Calibri" w:cs="Calibri" w:eastAsia="Calibri" w:hAnsi="Calibri"/>
                <w:b/>
                <w:bCs/>
                <w:color w:val="1F3A4D"/>
                <w:sz w:val="19"/>
                <w:szCs w:val="19"/>
              </w:rPr>
              <w:t xml:space="preserve">£341,504</w:t>
            </w:r>
          </w:p>
        </w:tc>
        <w:tc>
          <w:tcPr>
            <w:tcW w:type="dxa" w:w="2000"/>
            <w:tcMar>
              <w:top w:type="dxa" w:w="60"/>
              <w:left w:type="dxa" w:w="110"/>
              <w:bottom w:type="dxa" w:w="60"/>
              <w:right w:type="dxa" w:w="110"/>
            </w:tcMar>
          </w:tcPr>
          <w:p>
            <w:pPr>
              <w:spacing w:after="20" w:before="20"/>
              <w:jc w:val="right"/>
            </w:pPr>
            <w:r>
              <w:rPr>
                <w:rFonts w:ascii="Calibri" w:cs="Calibri" w:eastAsia="Calibri" w:hAnsi="Calibri"/>
                <w:b/>
                <w:bCs/>
                <w:color w:val="1F3A4D"/>
                <w:sz w:val="19"/>
                <w:szCs w:val="19"/>
              </w:rPr>
              <w:t xml:space="preserve">£370,505</w:t>
            </w:r>
          </w:p>
        </w:tc>
        <w:tc>
          <w:tcPr>
            <w:tcW w:type="dxa" w:w="2000"/>
            <w:tcMar>
              <w:top w:type="dxa" w:w="60"/>
              <w:left w:type="dxa" w:w="110"/>
              <w:bottom w:type="dxa" w:w="60"/>
              <w:right w:type="dxa" w:w="110"/>
            </w:tcMar>
          </w:tcPr>
          <w:p>
            <w:pPr>
              <w:spacing w:after="20" w:before="20"/>
              <w:jc w:val="right"/>
            </w:pPr>
            <w:r>
              <w:rPr>
                <w:rFonts w:ascii="Calibri" w:cs="Calibri" w:eastAsia="Calibri" w:hAnsi="Calibri"/>
                <w:b/>
                <w:bCs/>
                <w:color w:val="1F3A4D"/>
                <w:sz w:val="19"/>
                <w:szCs w:val="19"/>
              </w:rPr>
              <w:t xml:space="preserve">£201,458</w:t>
            </w:r>
          </w:p>
        </w:tc>
      </w:tr>
      <w:tr>
        <w:tc>
          <w:tcPr>
            <w:tcW w:type="dxa" w:w="3360"/>
            <w:shd w:fill="F7F4EE" w:color="auto" w:val="clear"/>
            <w:tcMar>
              <w:top w:type="dxa" w:w="60"/>
              <w:left w:type="dxa" w:w="110"/>
              <w:bottom w:type="dxa" w:w="60"/>
              <w:right w:type="dxa" w:w="110"/>
            </w:tcMar>
          </w:tcPr>
          <w:p>
            <w:pPr>
              <w:spacing w:after="20" w:before="20"/>
            </w:pPr>
            <w:r>
              <w:rPr>
                <w:rFonts w:ascii="Calibri" w:cs="Calibri" w:eastAsia="Calibri" w:hAnsi="Calibri"/>
                <w:color w:val="5A5A5A"/>
                <w:sz w:val="19"/>
                <w:szCs w:val="19"/>
              </w:rPr>
              <w:t xml:space="preserve">Gross margin</w:t>
            </w:r>
          </w:p>
        </w:tc>
        <w:tc>
          <w:tcPr>
            <w:tcW w:type="dxa" w:w="200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5A5A5A"/>
                <w:sz w:val="19"/>
                <w:szCs w:val="19"/>
              </w:rPr>
              <w:t xml:space="preserve">58%</w:t>
            </w:r>
          </w:p>
        </w:tc>
        <w:tc>
          <w:tcPr>
            <w:tcW w:type="dxa" w:w="200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5A5A5A"/>
                <w:sz w:val="19"/>
                <w:szCs w:val="19"/>
              </w:rPr>
              <w:t xml:space="preserve">58%</w:t>
            </w:r>
          </w:p>
        </w:tc>
        <w:tc>
          <w:tcPr>
            <w:tcW w:type="dxa" w:w="200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5A5A5A"/>
                <w:sz w:val="19"/>
                <w:szCs w:val="19"/>
              </w:rPr>
              <w:t xml:space="preserve">58%</w:t>
            </w:r>
          </w:p>
        </w:tc>
      </w:tr>
      <w:tr>
        <w:tc>
          <w:tcPr>
            <w:tcW w:type="dxa" w:w="3360"/>
            <w:tcMar>
              <w:top w:type="dxa" w:w="60"/>
              <w:left w:type="dxa" w:w="110"/>
              <w:bottom w:type="dxa" w:w="60"/>
              <w:right w:type="dxa" w:w="110"/>
            </w:tcMar>
          </w:tcPr>
          <w:p>
            <w:pPr>
              <w:spacing w:after="20" w:before="20"/>
            </w:pPr>
            <w:r>
              <w:rPr>
                <w:rFonts w:ascii="Calibri" w:cs="Calibri" w:eastAsia="Calibri" w:hAnsi="Calibri"/>
                <w:color w:val="222222"/>
                <w:sz w:val="19"/>
                <w:szCs w:val="19"/>
              </w:rPr>
              <w:t xml:space="preserve">   Marketing &amp; advertising</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£82,432</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£89,432</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£48,628</w:t>
            </w:r>
          </w:p>
        </w:tc>
      </w:tr>
      <w:tr>
        <w:tc>
          <w:tcPr>
            <w:tcW w:type="dxa" w:w="3360"/>
            <w:tcMar>
              <w:top w:type="dxa" w:w="60"/>
              <w:left w:type="dxa" w:w="110"/>
              <w:bottom w:type="dxa" w:w="60"/>
              <w:right w:type="dxa" w:w="110"/>
            </w:tcMar>
          </w:tcPr>
          <w:p>
            <w:pPr>
              <w:spacing w:after="20" w:before="20"/>
            </w:pPr>
            <w:r>
              <w:rPr>
                <w:rFonts w:ascii="Calibri" w:cs="Calibri" w:eastAsia="Calibri" w:hAnsi="Calibri"/>
                <w:color w:val="222222"/>
                <w:sz w:val="19"/>
                <w:szCs w:val="19"/>
              </w:rPr>
              <w:t xml:space="preserve">   Fulfilment &amp; shipping</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£52,992</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£57,492</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£31,261</w:t>
            </w:r>
          </w:p>
        </w:tc>
      </w:tr>
      <w:tr>
        <w:tc>
          <w:tcPr>
            <w:tcW w:type="dxa" w:w="3360"/>
            <w:tcMar>
              <w:top w:type="dxa" w:w="60"/>
              <w:left w:type="dxa" w:w="110"/>
              <w:bottom w:type="dxa" w:w="60"/>
              <w:right w:type="dxa" w:w="110"/>
            </w:tcMar>
          </w:tcPr>
          <w:p>
            <w:pPr>
              <w:spacing w:after="20" w:before="20"/>
            </w:pPr>
            <w:r>
              <w:rPr>
                <w:rFonts w:ascii="Calibri" w:cs="Calibri" w:eastAsia="Calibri" w:hAnsi="Calibri"/>
                <w:color w:val="222222"/>
                <w:sz w:val="19"/>
                <w:szCs w:val="19"/>
              </w:rPr>
              <w:t xml:space="preserve">   Platform &amp; payment fees</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£20,608</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£22,358</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£12,157</w:t>
            </w:r>
          </w:p>
        </w:tc>
      </w:tr>
      <w:tr>
        <w:tc>
          <w:tcPr>
            <w:tcW w:type="dxa" w:w="3360"/>
            <w:tcMar>
              <w:top w:type="dxa" w:w="60"/>
              <w:left w:type="dxa" w:w="110"/>
              <w:bottom w:type="dxa" w:w="60"/>
              <w:right w:type="dxa" w:w="110"/>
            </w:tcMar>
          </w:tcPr>
          <w:p>
            <w:pPr>
              <w:spacing w:after="20" w:before="20"/>
            </w:pPr>
            <w:r>
              <w:rPr>
                <w:rFonts w:ascii="Calibri" w:cs="Calibri" w:eastAsia="Calibri" w:hAnsi="Calibri"/>
                <w:color w:val="222222"/>
                <w:sz w:val="19"/>
                <w:szCs w:val="19"/>
              </w:rPr>
              <w:t xml:space="preserve">   Founders' compensation</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£38,400</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£42,000</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£25,900</w:t>
            </w:r>
          </w:p>
        </w:tc>
      </w:tr>
      <w:tr>
        <w:tc>
          <w:tcPr>
            <w:tcW w:type="dxa" w:w="3360"/>
            <w:tcMar>
              <w:top w:type="dxa" w:w="60"/>
              <w:left w:type="dxa" w:w="110"/>
              <w:bottom w:type="dxa" w:w="60"/>
              <w:right w:type="dxa" w:w="110"/>
            </w:tcMar>
          </w:tcPr>
          <w:p>
            <w:pPr>
              <w:spacing w:after="20" w:before="20"/>
            </w:pPr>
            <w:r>
              <w:rPr>
                <w:rFonts w:ascii="Calibri" w:cs="Calibri" w:eastAsia="Calibri" w:hAnsi="Calibri"/>
                <w:color w:val="222222"/>
                <w:sz w:val="19"/>
                <w:szCs w:val="19"/>
              </w:rPr>
              <w:t xml:space="preserve">   Software &amp; other overhead</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£10,200</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£11,400</w:t>
            </w:r>
          </w:p>
        </w:tc>
        <w:tc>
          <w:tcPr>
            <w:tcW w:type="dxa" w:w="2000"/>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£6,650</w:t>
            </w:r>
          </w:p>
        </w:tc>
      </w:tr>
      <w:tr>
        <w:tc>
          <w:tcPr>
            <w:tcW w:type="dxa" w:w="33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19"/>
                <w:szCs w:val="19"/>
              </w:rPr>
              <w:t xml:space="preserve">Total operating expenses</w:t>
            </w:r>
          </w:p>
        </w:tc>
        <w:tc>
          <w:tcPr>
            <w:tcW w:type="dxa" w:w="200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£204,632</w:t>
            </w:r>
          </w:p>
        </w:tc>
        <w:tc>
          <w:tcPr>
            <w:tcW w:type="dxa" w:w="200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£222,683</w:t>
            </w:r>
          </w:p>
        </w:tc>
        <w:tc>
          <w:tcPr>
            <w:tcW w:type="dxa" w:w="200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19"/>
                <w:szCs w:val="19"/>
              </w:rPr>
              <w:t xml:space="preserve">£124,596</w:t>
            </w:r>
          </w:p>
        </w:tc>
      </w:tr>
      <w:tr>
        <w:tc>
          <w:tcPr>
            <w:tcW w:type="dxa" w:w="3360"/>
            <w:shd w:fill="F1ECE2" w:color="auto" w:val="clear"/>
            <w:tcMar>
              <w:top w:type="dxa" w:w="60"/>
              <w:left w:type="dxa" w:w="110"/>
              <w:bottom w:type="dxa" w:w="60"/>
              <w:right w:type="dxa" w:w="110"/>
            </w:tcMar>
          </w:tcPr>
          <w:p>
            <w:pPr>
              <w:spacing w:after="20" w:before="20"/>
            </w:pPr>
            <w:r>
              <w:rPr>
                <w:rFonts w:ascii="Calibri" w:cs="Calibri" w:eastAsia="Calibri" w:hAnsi="Calibri"/>
                <w:b/>
                <w:bCs/>
                <w:color w:val="1F3A4D"/>
                <w:sz w:val="19"/>
                <w:szCs w:val="19"/>
              </w:rPr>
              <w:t xml:space="preserve">Net profit</w:t>
            </w:r>
          </w:p>
        </w:tc>
        <w:tc>
          <w:tcPr>
            <w:tcW w:type="dxa" w:w="2000"/>
            <w:shd w:fill="F1ECE2" w:color="auto" w:val="clear"/>
            <w:tcMar>
              <w:top w:type="dxa" w:w="60"/>
              <w:left w:type="dxa" w:w="110"/>
              <w:bottom w:type="dxa" w:w="60"/>
              <w:right w:type="dxa" w:w="110"/>
            </w:tcMar>
          </w:tcPr>
          <w:p>
            <w:pPr>
              <w:spacing w:after="20" w:before="20"/>
              <w:jc w:val="right"/>
            </w:pPr>
            <w:r>
              <w:rPr>
                <w:rFonts w:ascii="Calibri" w:cs="Calibri" w:eastAsia="Calibri" w:hAnsi="Calibri"/>
                <w:b/>
                <w:bCs/>
                <w:color w:val="1F3A4D"/>
                <w:sz w:val="19"/>
                <w:szCs w:val="19"/>
              </w:rPr>
              <w:t xml:space="preserve">£136,872</w:t>
            </w:r>
          </w:p>
        </w:tc>
        <w:tc>
          <w:tcPr>
            <w:tcW w:type="dxa" w:w="2000"/>
            <w:shd w:fill="F1ECE2" w:color="auto" w:val="clear"/>
            <w:tcMar>
              <w:top w:type="dxa" w:w="60"/>
              <w:left w:type="dxa" w:w="110"/>
              <w:bottom w:type="dxa" w:w="60"/>
              <w:right w:type="dxa" w:w="110"/>
            </w:tcMar>
          </w:tcPr>
          <w:p>
            <w:pPr>
              <w:spacing w:after="20" w:before="20"/>
              <w:jc w:val="right"/>
            </w:pPr>
            <w:r>
              <w:rPr>
                <w:rFonts w:ascii="Calibri" w:cs="Calibri" w:eastAsia="Calibri" w:hAnsi="Calibri"/>
                <w:b/>
                <w:bCs/>
                <w:color w:val="1F3A4D"/>
                <w:sz w:val="19"/>
                <w:szCs w:val="19"/>
              </w:rPr>
              <w:t xml:space="preserve">£147,823</w:t>
            </w:r>
          </w:p>
        </w:tc>
        <w:tc>
          <w:tcPr>
            <w:tcW w:type="dxa" w:w="2000"/>
            <w:shd w:fill="F1ECE2" w:color="auto" w:val="clear"/>
            <w:tcMar>
              <w:top w:type="dxa" w:w="60"/>
              <w:left w:type="dxa" w:w="110"/>
              <w:bottom w:type="dxa" w:w="60"/>
              <w:right w:type="dxa" w:w="110"/>
            </w:tcMar>
          </w:tcPr>
          <w:p>
            <w:pPr>
              <w:spacing w:after="20" w:before="20"/>
              <w:jc w:val="right"/>
            </w:pPr>
            <w:r>
              <w:rPr>
                <w:rFonts w:ascii="Calibri" w:cs="Calibri" w:eastAsia="Calibri" w:hAnsi="Calibri"/>
                <w:b/>
                <w:bCs/>
                <w:color w:val="1F3A4D"/>
                <w:sz w:val="19"/>
                <w:szCs w:val="19"/>
              </w:rPr>
              <w:t xml:space="preserve">£76,863</w:t>
            </w:r>
          </w:p>
        </w:tc>
      </w:tr>
      <w:tr>
        <w:tc>
          <w:tcPr>
            <w:tcW w:type="dxa" w:w="3360"/>
            <w:tcMar>
              <w:top w:type="dxa" w:w="60"/>
              <w:left w:type="dxa" w:w="110"/>
              <w:bottom w:type="dxa" w:w="60"/>
              <w:right w:type="dxa" w:w="110"/>
            </w:tcMar>
          </w:tcPr>
          <w:p>
            <w:pPr>
              <w:spacing w:after="20" w:before="20"/>
            </w:pPr>
            <w:r>
              <w:rPr>
                <w:rFonts w:ascii="Calibri" w:cs="Calibri" w:eastAsia="Calibri" w:hAnsi="Calibri"/>
                <w:b/>
                <w:bCs/>
                <w:color w:val="2E6E7E"/>
                <w:sz w:val="19"/>
                <w:szCs w:val="19"/>
              </w:rPr>
              <w:t xml:space="preserve">Net margin</w:t>
            </w:r>
          </w:p>
        </w:tc>
        <w:tc>
          <w:tcPr>
            <w:tcW w:type="dxa" w:w="2000"/>
            <w:tcMar>
              <w:top w:type="dxa" w:w="60"/>
              <w:left w:type="dxa" w:w="110"/>
              <w:bottom w:type="dxa" w:w="60"/>
              <w:right w:type="dxa" w:w="110"/>
            </w:tcMar>
          </w:tcPr>
          <w:p>
            <w:pPr>
              <w:spacing w:after="20" w:before="20"/>
              <w:jc w:val="right"/>
            </w:pPr>
            <w:r>
              <w:rPr>
                <w:rFonts w:ascii="Calibri" w:cs="Calibri" w:eastAsia="Calibri" w:hAnsi="Calibri"/>
                <w:b/>
                <w:bCs/>
                <w:color w:val="2E6E7E"/>
                <w:sz w:val="19"/>
                <w:szCs w:val="19"/>
              </w:rPr>
              <w:t xml:space="preserve">23.2%</w:t>
            </w:r>
          </w:p>
        </w:tc>
        <w:tc>
          <w:tcPr>
            <w:tcW w:type="dxa" w:w="2000"/>
            <w:tcMar>
              <w:top w:type="dxa" w:w="60"/>
              <w:left w:type="dxa" w:w="110"/>
              <w:bottom w:type="dxa" w:w="60"/>
              <w:right w:type="dxa" w:w="110"/>
            </w:tcMar>
          </w:tcPr>
          <w:p>
            <w:pPr>
              <w:spacing w:after="20" w:before="20"/>
              <w:jc w:val="right"/>
            </w:pPr>
            <w:r>
              <w:rPr>
                <w:rFonts w:ascii="Calibri" w:cs="Calibri" w:eastAsia="Calibri" w:hAnsi="Calibri"/>
                <w:b/>
                <w:bCs/>
                <w:color w:val="2E6E7E"/>
                <w:sz w:val="19"/>
                <w:szCs w:val="19"/>
              </w:rPr>
              <w:t xml:space="preserve">23.1%</w:t>
            </w:r>
          </w:p>
        </w:tc>
        <w:tc>
          <w:tcPr>
            <w:tcW w:type="dxa" w:w="2000"/>
            <w:tcMar>
              <w:top w:type="dxa" w:w="60"/>
              <w:left w:type="dxa" w:w="110"/>
              <w:bottom w:type="dxa" w:w="60"/>
              <w:right w:type="dxa" w:w="110"/>
            </w:tcMar>
          </w:tcPr>
          <w:p>
            <w:pPr>
              <w:spacing w:after="20" w:before="20"/>
              <w:jc w:val="right"/>
            </w:pPr>
            <w:r>
              <w:rPr>
                <w:rFonts w:ascii="Calibri" w:cs="Calibri" w:eastAsia="Calibri" w:hAnsi="Calibri"/>
                <w:b/>
                <w:bCs/>
                <w:color w:val="2E6E7E"/>
                <w:sz w:val="19"/>
                <w:szCs w:val="19"/>
              </w:rPr>
              <w:t xml:space="preserve">22.1%</w:t>
            </w:r>
          </w:p>
        </w:tc>
      </w:tr>
    </w:tbl>
    <w:p>
      <w:pPr>
        <w:spacing w:after="50"/>
      </w:pPr>
    </w:p>
    <w:p>
      <w:pPr>
        <w:spacing w:after="120" w:line="276"/>
      </w:pPr>
      <w:r>
        <w:rPr>
          <w:rFonts w:ascii="Calibri" w:cs="Calibri" w:eastAsia="Calibri" w:hAnsi="Calibri"/>
          <w:b/>
          <w:bCs/>
          <w:color w:val="1F3A4D"/>
          <w:sz w:val="21"/>
          <w:szCs w:val="21"/>
        </w:rPr>
        <w:t xml:space="preserve">Read this: </w:t>
      </w:r>
      <w:r>
        <w:rPr>
          <w:rFonts w:ascii="Calibri" w:cs="Calibri" w:eastAsia="Calibri" w:hAnsi="Calibri"/>
          <w:color w:val="222222"/>
          <w:sz w:val="21"/>
          <w:szCs w:val="21"/>
        </w:rPr>
        <w:t xml:space="preserve">gross margin is rock-steady at 58%, so the business keeps a consistent slice of every sale. Because some costs are fixed, a soft revenue month squeezes net margin a little harder than the revenue drop alone — worth remembering when a quiet month lands.</w:t>
      </w:r>
    </w:p>
    <w:p>
      <w:r>
        <w:br w:type="page"/>
      </w:r>
    </w:p>
    <w:p>
      <w:pPr>
        <w:pStyle w:val="Heading1"/>
        <w:pBdr>
          <w:bottom w:val="single" w:color="C9BFA8" w:sz="8" w:space="6"/>
        </w:pBdr>
        <w:spacing w:after="110" w:before="300"/>
      </w:pPr>
      <w:r>
        <w:rPr>
          <w:rFonts w:ascii="Calibri" w:cs="Calibri" w:eastAsia="Calibri" w:hAnsi="Calibri"/>
          <w:b/>
          <w:bCs/>
          <w:color w:val="1F3A4D"/>
          <w:sz w:val="28"/>
          <w:szCs w:val="28"/>
        </w:rPr>
        <w:t xml:space="preserve">Revenue trend</w:t>
      </w:r>
    </w:p>
    <w:p>
      <w:pPr>
        <w:spacing w:after="120" w:line="276"/>
      </w:pPr>
      <w:r>
        <w:rPr>
          <w:rFonts w:ascii="Calibri" w:cs="Calibri" w:eastAsia="Calibri" w:hAnsi="Calibri"/>
          <w:color w:val="222222"/>
          <w:sz w:val="21"/>
          <w:szCs w:val="21"/>
        </w:rPr>
        <w:t xml:space="preserve">Monthly revenue since the order system went live in January 2024. The rhythm is clear: a strong Q4 lift each November–December, softer summers, and steady year-on-year growth — until the most recent month.</w:t>
      </w:r>
    </w:p>
    <w:p>
      <w:pPr>
        <w:spacing w:after="60" w:before="4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38350"/>
                    </a:xfrm>
                    <a:prstGeom prst="rect">
                      <a:avLst/>
                    </a:prstGeom>
                  </pic:spPr>
                </pic:pic>
              </a:graphicData>
            </a:graphic>
          </wp:inline>
        </w:drawing>
      </w:r>
    </w:p>
    <w:p>
      <w:pPr>
        <w:spacing w:after="30"/>
      </w:pPr>
    </w:p>
    <w:p>
      <w:pPr>
        <w:spacing w:after="60" w:before="4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05000"/>
                    </a:xfrm>
                    <a:prstGeom prst="rect">
                      <a:avLst/>
                    </a:prstGeom>
                  </pic:spPr>
                </pic:pic>
              </a:graphicData>
            </a:graphic>
          </wp:inline>
        </w:drawing>
      </w:r>
    </w:p>
    <w:p>
      <w:pPr>
        <w:spacing w:after="30"/>
      </w:pPr>
    </w:p>
    <w:tbl>
      <w:tblPr>
        <w:tblW w:type="dxa" w:w="9360"/>
        <w:tblBorders>
          <w:top w:val="single" w:color="C9BFA8" w:sz="2"/>
          <w:left w:val="none"/>
          <w:bottom w:val="single" w:color="C9BFA8" w:sz="2"/>
          <w:right w:val="none"/>
          <w:insideH w:val="single" w:color="E4DECF" w:sz="2"/>
          <w:insideV w:val="none"/>
        </w:tblBorders>
      </w:tblPr>
      <w:tblGrid>
        <w:gridCol w:w="2340"/>
        <w:gridCol w:w="2340"/>
        <w:gridCol w:w="2340"/>
        <w:gridCol w:w="2340"/>
      </w:tblGrid>
      <w:tr>
        <w:trPr>
          <w:tblHeader/>
        </w:trPr>
        <w:tc>
          <w:tcPr>
            <w:tcW w:type="dxa" w:w="234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Quarter</w:t>
            </w:r>
          </w:p>
        </w:tc>
        <w:tc>
          <w:tcPr>
            <w:tcW w:type="dxa" w:w="234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20"/>
                <w:szCs w:val="20"/>
              </w:rPr>
              <w:t xml:space="preserve">FY2024</w:t>
            </w:r>
          </w:p>
        </w:tc>
        <w:tc>
          <w:tcPr>
            <w:tcW w:type="dxa" w:w="234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20"/>
                <w:szCs w:val="20"/>
              </w:rPr>
              <w:t xml:space="preserve">FY2025</w:t>
            </w:r>
          </w:p>
        </w:tc>
        <w:tc>
          <w:tcPr>
            <w:tcW w:type="dxa" w:w="234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20"/>
                <w:szCs w:val="20"/>
              </w:rPr>
              <w:t xml:space="preserve">FY2026</w:t>
            </w:r>
          </w:p>
        </w:tc>
      </w:tr>
      <w:tr>
        <w:tc>
          <w:tcPr>
            <w:tcW w:type="dxa" w:w="2340"/>
            <w:shd w:fill="F7F4EE" w:color="auto" w:val="clear"/>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Q1</w:t>
            </w:r>
          </w:p>
        </w:tc>
        <w:tc>
          <w:tcPr>
            <w:tcW w:type="dxa" w:w="234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20"/>
                <w:szCs w:val="20"/>
              </w:rPr>
              <w:t xml:space="preserve">£136,431</w:t>
            </w:r>
          </w:p>
        </w:tc>
        <w:tc>
          <w:tcPr>
            <w:tcW w:type="dxa" w:w="234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20"/>
                <w:szCs w:val="20"/>
              </w:rPr>
              <w:t xml:space="preserve">£148,518</w:t>
            </w:r>
          </w:p>
        </w:tc>
        <w:tc>
          <w:tcPr>
            <w:tcW w:type="dxa" w:w="234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20"/>
                <w:szCs w:val="20"/>
              </w:rPr>
              <w:t xml:space="preserve">£153,302</w:t>
            </w:r>
          </w:p>
        </w:tc>
      </w:tr>
      <w:tr>
        <w:tc>
          <w:tcPr>
            <w:tcW w:type="dxa" w:w="2340"/>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Q2</w:t>
            </w:r>
          </w:p>
        </w:tc>
        <w:tc>
          <w:tcPr>
            <w:tcW w:type="dxa" w:w="2340"/>
            <w:tcMar>
              <w:top w:type="dxa" w:w="60"/>
              <w:left w:type="dxa" w:w="110"/>
              <w:bottom w:type="dxa" w:w="60"/>
              <w:right w:type="dxa" w:w="110"/>
            </w:tcMar>
          </w:tcPr>
          <w:p>
            <w:pPr>
              <w:spacing w:after="20" w:before="20"/>
              <w:jc w:val="right"/>
            </w:pPr>
            <w:r>
              <w:rPr>
                <w:rFonts w:ascii="Calibri" w:cs="Calibri" w:eastAsia="Calibri" w:hAnsi="Calibri"/>
                <w:color w:val="222222"/>
                <w:sz w:val="20"/>
                <w:szCs w:val="20"/>
              </w:rPr>
              <w:t xml:space="preserve">£135,531</w:t>
            </w:r>
          </w:p>
        </w:tc>
        <w:tc>
          <w:tcPr>
            <w:tcW w:type="dxa" w:w="2340"/>
            <w:tcMar>
              <w:top w:type="dxa" w:w="60"/>
              <w:left w:type="dxa" w:w="110"/>
              <w:bottom w:type="dxa" w:w="60"/>
              <w:right w:type="dxa" w:w="110"/>
            </w:tcMar>
          </w:tcPr>
          <w:p>
            <w:pPr>
              <w:spacing w:after="20" w:before="20"/>
              <w:jc w:val="right"/>
            </w:pPr>
            <w:r>
              <w:rPr>
                <w:rFonts w:ascii="Calibri" w:cs="Calibri" w:eastAsia="Calibri" w:hAnsi="Calibri"/>
                <w:color w:val="222222"/>
                <w:sz w:val="20"/>
                <w:szCs w:val="20"/>
              </w:rPr>
              <w:t xml:space="preserve">£148,876</w:t>
            </w:r>
          </w:p>
        </w:tc>
        <w:tc>
          <w:tcPr>
            <w:tcW w:type="dxa" w:w="2340"/>
            <w:tcMar>
              <w:top w:type="dxa" w:w="60"/>
              <w:left w:type="dxa" w:w="110"/>
              <w:bottom w:type="dxa" w:w="60"/>
              <w:right w:type="dxa" w:w="110"/>
            </w:tcMar>
          </w:tcPr>
          <w:p>
            <w:pPr>
              <w:spacing w:after="20" w:before="20"/>
              <w:jc w:val="right"/>
            </w:pPr>
            <w:r>
              <w:rPr>
                <w:rFonts w:ascii="Calibri" w:cs="Calibri" w:eastAsia="Calibri" w:hAnsi="Calibri"/>
                <w:color w:val="222222"/>
                <w:sz w:val="20"/>
                <w:szCs w:val="20"/>
              </w:rPr>
              <w:t xml:space="preserve">£152,190</w:t>
            </w:r>
          </w:p>
        </w:tc>
      </w:tr>
      <w:tr>
        <w:tc>
          <w:tcPr>
            <w:tcW w:type="dxa" w:w="2340"/>
            <w:shd w:fill="F7F4EE" w:color="auto" w:val="clear"/>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Q3</w:t>
            </w:r>
          </w:p>
        </w:tc>
        <w:tc>
          <w:tcPr>
            <w:tcW w:type="dxa" w:w="234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20"/>
                <w:szCs w:val="20"/>
              </w:rPr>
              <w:t xml:space="preserve">£144,768</w:t>
            </w:r>
          </w:p>
        </w:tc>
        <w:tc>
          <w:tcPr>
            <w:tcW w:type="dxa" w:w="2340"/>
            <w:shd w:fill="F7F4EE" w:color="auto" w:val="clear"/>
            <w:tcMar>
              <w:top w:type="dxa" w:w="60"/>
              <w:left w:type="dxa" w:w="110"/>
              <w:bottom w:type="dxa" w:w="60"/>
              <w:right w:type="dxa" w:w="110"/>
            </w:tcMar>
          </w:tcPr>
          <w:p>
            <w:pPr>
              <w:spacing w:after="20" w:before="20"/>
              <w:jc w:val="right"/>
            </w:pPr>
            <w:r>
              <w:rPr>
                <w:rFonts w:ascii="Calibri" w:cs="Calibri" w:eastAsia="Calibri" w:hAnsi="Calibri"/>
                <w:color w:val="222222"/>
                <w:sz w:val="20"/>
                <w:szCs w:val="20"/>
              </w:rPr>
              <w:t xml:space="preserve">£154,628</w:t>
            </w:r>
          </w:p>
        </w:tc>
        <w:tc>
          <w:tcPr>
            <w:tcW w:type="dxa" w:w="234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B4553F"/>
                <w:sz w:val="20"/>
                <w:szCs w:val="20"/>
              </w:rPr>
              <w:t xml:space="preserve">£41,850 *</w:t>
            </w:r>
          </w:p>
        </w:tc>
      </w:tr>
      <w:tr>
        <w:tc>
          <w:tcPr>
            <w:tcW w:type="dxa" w:w="2340"/>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Q4</w:t>
            </w:r>
          </w:p>
        </w:tc>
        <w:tc>
          <w:tcPr>
            <w:tcW w:type="dxa" w:w="2340"/>
            <w:tcMar>
              <w:top w:type="dxa" w:w="60"/>
              <w:left w:type="dxa" w:w="110"/>
              <w:bottom w:type="dxa" w:w="60"/>
              <w:right w:type="dxa" w:w="110"/>
            </w:tcMar>
          </w:tcPr>
          <w:p>
            <w:pPr>
              <w:spacing w:after="20" w:before="20"/>
              <w:jc w:val="right"/>
            </w:pPr>
            <w:r>
              <w:rPr>
                <w:rFonts w:ascii="Calibri" w:cs="Calibri" w:eastAsia="Calibri" w:hAnsi="Calibri"/>
                <w:color w:val="222222"/>
                <w:sz w:val="20"/>
                <w:szCs w:val="20"/>
              </w:rPr>
              <w:t xml:space="preserve">£172,070</w:t>
            </w:r>
          </w:p>
        </w:tc>
        <w:tc>
          <w:tcPr>
            <w:tcW w:type="dxa" w:w="2340"/>
            <w:tcMar>
              <w:top w:type="dxa" w:w="60"/>
              <w:left w:type="dxa" w:w="110"/>
              <w:bottom w:type="dxa" w:w="60"/>
              <w:right w:type="dxa" w:w="110"/>
            </w:tcMar>
          </w:tcPr>
          <w:p>
            <w:pPr>
              <w:spacing w:after="20" w:before="20"/>
              <w:jc w:val="right"/>
            </w:pPr>
            <w:r>
              <w:rPr>
                <w:rFonts w:ascii="Calibri" w:cs="Calibri" w:eastAsia="Calibri" w:hAnsi="Calibri"/>
                <w:color w:val="222222"/>
                <w:sz w:val="20"/>
                <w:szCs w:val="20"/>
              </w:rPr>
              <w:t xml:space="preserve">£186,780</w:t>
            </w:r>
          </w:p>
        </w:tc>
        <w:tc>
          <w:tcPr>
            <w:tcW w:type="dxa" w:w="2340"/>
            <w:tcMar>
              <w:top w:type="dxa" w:w="60"/>
              <w:left w:type="dxa" w:w="110"/>
              <w:bottom w:type="dxa" w:w="60"/>
              <w:right w:type="dxa" w:w="110"/>
            </w:tcMar>
          </w:tcPr>
          <w:p>
            <w:pPr>
              <w:spacing w:after="20" w:before="20"/>
              <w:jc w:val="right"/>
            </w:pPr>
            <w:r>
              <w:rPr>
                <w:rFonts w:ascii="Calibri" w:cs="Calibri" w:eastAsia="Calibri" w:hAnsi="Calibri"/>
                <w:color w:val="5A5A5A"/>
                <w:sz w:val="20"/>
                <w:szCs w:val="20"/>
              </w:rPr>
              <w:t xml:space="preserve">—</w:t>
            </w:r>
          </w:p>
        </w:tc>
      </w:tr>
    </w:tbl>
    <w:p>
      <w:pPr>
        <w:spacing w:after="60" w:line="276"/>
      </w:pPr>
      <w:r>
        <w:rPr>
          <w:rFonts w:ascii="Calibri" w:cs="Calibri" w:eastAsia="Calibri" w:hAnsi="Calibri"/>
          <w:i/>
          <w:iCs/>
          <w:color w:val="5A5A5A"/>
          <w:sz w:val="16"/>
          <w:szCs w:val="16"/>
        </w:rPr>
        <w:t xml:space="preserve">* FY2026 Q3 = July only (one month), not a full quarter.</w:t>
      </w:r>
    </w:p>
    <w:p>
      <w:pPr>
        <w:pStyle w:val="Heading1"/>
        <w:pBdr>
          <w:bottom w:val="single" w:color="C9BFA8" w:sz="8" w:space="6"/>
        </w:pBdr>
        <w:spacing w:after="110" w:before="300"/>
      </w:pPr>
      <w:r>
        <w:rPr>
          <w:rFonts w:ascii="Calibri" w:cs="Calibri" w:eastAsia="Calibri" w:hAnsi="Calibri"/>
          <w:b/>
          <w:bCs/>
          <w:color w:val="1F3A4D"/>
          <w:sz w:val="28"/>
          <w:szCs w:val="28"/>
        </w:rPr>
        <w:t xml:space="preserve">What the agent flagged this month</w:t>
      </w:r>
    </w:p>
    <w:p>
      <w:pPr>
        <w:spacing w:after="120" w:line="276"/>
      </w:pPr>
      <w:r>
        <w:rPr>
          <w:rFonts w:ascii="Calibri" w:cs="Calibri" w:eastAsia="Calibri" w:hAnsi="Calibri"/>
          <w:color w:val="222222"/>
          <w:sz w:val="21"/>
          <w:szCs w:val="21"/>
        </w:rPr>
        <w:t xml:space="preserve">This is the kind of proactive signal the optional insight-agent upgrade surfaces automatically — observe, analyse, recommend:</w:t>
      </w:r>
    </w:p>
    <w:tbl>
      <w:tblPr>
        <w:tblW w:type="dxa" w:w="9360"/>
        <w:tblBorders>
          <w:top w:val="single" w:color="B4553F" w:sz="12"/>
          <w:left w:val="single" w:color="B4553F" w:sz="12"/>
          <w:bottom w:val="single" w:color="C9BFA8" w:sz="2"/>
          <w:right w:val="single" w:color="C9BFA8" w:sz="2"/>
          <w:insideH w:val="none"/>
          <w:insideV w:val="none"/>
        </w:tblBorders>
      </w:tblPr>
      <w:tblGrid>
        <w:gridCol w:w="9360"/>
      </w:tblGrid>
      <w:tr>
        <w:tc>
          <w:tcPr>
            <w:tcW w:type="dxa" w:w="9360"/>
            <w:shd w:fill="F7F4EE" w:color="auto" w:val="clear"/>
            <w:tcMar>
              <w:top w:type="dxa" w:w="160"/>
              <w:left w:type="dxa" w:w="200"/>
              <w:bottom w:type="dxa" w:w="160"/>
              <w:right w:type="dxa" w:w="200"/>
            </w:tcMar>
          </w:tcPr>
          <w:p>
            <w:pPr>
              <w:spacing w:after="60"/>
            </w:pPr>
            <w:r>
              <w:rPr>
                <w:rFonts w:ascii="Calibri" w:cs="Calibri" w:eastAsia="Calibri" w:hAnsi="Calibri"/>
                <w:b/>
                <w:bCs/>
                <w:color w:val="B4553F"/>
                <w:sz w:val="22"/>
                <w:szCs w:val="22"/>
              </w:rPr>
              <w:t xml:space="preserve">⚠  Watch — July revenue broke trend</w:t>
            </w:r>
          </w:p>
          <w:p>
            <w:pPr>
              <w:spacing w:after="80"/>
            </w:pPr>
            <w:r>
              <w:rPr>
                <w:rFonts w:ascii="Calibri" w:cs="Calibri" w:eastAsia="Calibri" w:hAnsi="Calibri"/>
                <w:color w:val="222222"/>
                <w:sz w:val="20"/>
                <w:szCs w:val="20"/>
              </w:rPr>
              <w:t xml:space="preserve">July 2026 came in at £41,850 — down 24.4% on June and down 22.0% on July last year. </w:t>
            </w:r>
            <w:r>
              <w:rPr>
                <w:rFonts w:ascii="Calibri" w:cs="Calibri" w:eastAsia="Calibri" w:hAnsi="Calibri"/>
                <w:color w:val="222222"/>
                <w:sz w:val="20"/>
                <w:szCs w:val="20"/>
              </w:rPr>
              <w:t xml:space="preserve">Every previous July grew year-on-year; this is the first month to fall below the same month a year earlier.</w:t>
            </w:r>
          </w:p>
          <w:p>
            <w:pPr>
              <w:spacing w:after="80"/>
            </w:pPr>
            <w:r>
              <w:rPr>
                <w:rFonts w:ascii="Calibri" w:cs="Calibri" w:eastAsia="Calibri" w:hAnsi="Calibri"/>
                <w:b/>
                <w:bCs/>
                <w:color w:val="1F3A4D"/>
                <w:sz w:val="20"/>
                <w:szCs w:val="20"/>
              </w:rPr>
              <w:t xml:space="preserve">Context: </w:t>
            </w:r>
            <w:r>
              <w:rPr>
                <w:rFonts w:ascii="Calibri" w:cs="Calibri" w:eastAsia="Calibri" w:hAnsi="Calibri"/>
                <w:color w:val="222222"/>
                <w:sz w:val="20"/>
                <w:szCs w:val="20"/>
              </w:rPr>
              <w:t xml:space="preserve">first-half 2026 revenue (£305,492) grew only 2.7% over first-half 2025 — well below the 8.5% full-year pace of 2024→2025. Growth was already cooling before July's drop.</w:t>
            </w:r>
          </w:p>
          <w:p>
            <w:r>
              <w:rPr>
                <w:rFonts w:ascii="Calibri" w:cs="Calibri" w:eastAsia="Calibri" w:hAnsi="Calibri"/>
                <w:b/>
                <w:bCs/>
                <w:color w:val="3B6E4B"/>
                <w:sz w:val="20"/>
                <w:szCs w:val="20"/>
              </w:rPr>
              <w:t xml:space="preserve">Recommended action: </w:t>
            </w:r>
            <w:r>
              <w:rPr>
                <w:rFonts w:ascii="Calibri" w:cs="Calibri" w:eastAsia="Calibri" w:hAnsi="Calibri"/>
                <w:color w:val="222222"/>
                <w:sz w:val="20"/>
                <w:szCs w:val="20"/>
              </w:rPr>
              <w:t xml:space="preserve">treat July as a signal, not noise. Check whether a hero line (e.g. the Corail Linen Wrap Dress) sold through or stocked out, confirm marketing spend didn't pause, and line up an August mailing-list drop ahead of the reliable Q4 lift. The agent will re-check next period and tell you if the trend continues.</w:t>
            </w:r>
          </w:p>
        </w:tc>
      </w:tr>
    </w:tbl>
    <w:p>
      <w:pPr>
        <w:spacing w:after="120"/>
      </w:pPr>
    </w:p>
    <w:p>
      <w:pPr>
        <w:pBdr>
          <w:top w:val="single" w:color="C9BFA8" w:sz="4" w:space="6"/>
        </w:pBdr>
        <w:spacing w:before="40"/>
      </w:pPr>
      <w:r>
        <w:rPr>
          <w:rFonts w:ascii="Calibri" w:cs="Calibri" w:eastAsia="Calibri" w:hAnsi="Calibri"/>
          <w:b/>
          <w:bCs/>
          <w:color w:val="5A5A5A"/>
          <w:sz w:val="16"/>
          <w:szCs w:val="16"/>
        </w:rPr>
        <w:t xml:space="preserve">Notes.  </w:t>
      </w:r>
      <w:r>
        <w:rPr>
          <w:rFonts w:ascii="Calibri" w:cs="Calibri" w:eastAsia="Calibri" w:hAnsi="Calibri"/>
          <w:color w:val="5A5A5A"/>
          <w:sz w:val="16"/>
          <w:szCs w:val="16"/>
        </w:rPr>
        <w:t xml:space="preserve">Management information for internal decisions — not audited or statutory accounts. Monthly detail begins Jan 2024 (the order system's start); earlier years are annual-only. COGS modelled at 42% of revenue per the company's product costing. Figures pull live from Xero and reconcile to your books; this appendix is built from your shared history to show the exact format and rigour.</w:t>
      </w:r>
    </w:p>
    <w:sectPr>
      <w:headerReference w:type="default" r:id="rId9"/>
      <w:footerReference w:type="default" r:id="rId10"/>
      <w:pgSz w:w="12240" w:h="15840" w:orient="portrait"/>
      <w:pgMar w:top="136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5A5A"/>
        <w:sz w:val="14"/>
        <w:szCs w:val="14"/>
      </w:rPr>
      <w:t xml:space="preserve">Prepared 22 July 2026 · Commercial in confidence</w:t>
    </w:r>
    <w:r>
      <w:rPr>
        <w:rFonts w:ascii="Calibri" w:cs="Calibri" w:eastAsia="Calibri" w:hAnsi="Calibri"/>
        <w:color w:val="5A5A5A"/>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5A5A"/>
        <w:sz w:val="14"/>
        <w:szCs w:val="14"/>
      </w:rPr>
      <w:t xml:space="preserve">Prepared by Negative Zero · figures from client sales data</w:t>
    </w:r>
    <w:r>
      <w:rPr>
        <w:rFonts w:ascii="Calibri" w:cs="Calibri" w:eastAsia="Calibri" w:hAnsi="Calibri"/>
        <w:color w:val="5A5A5A"/>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tabs>
        <w:tab w:val="right" w:pos="9360"/>
      </w:tabs>
      <w:spacing w:after="0"/>
    </w:pPr>
    <w:r>
      <w:rPr>
        <w:rFonts w:ascii="Calibri" w:cs="Calibri" w:eastAsia="Calibri" w:hAnsi="Calibri"/>
        <w:b/>
        <w:bCs/>
        <w:color w:val="1F3A4D"/>
        <w:sz w:val="15"/>
        <w:szCs w:val="15"/>
      </w:rPr>
      <w:t xml:space="preserve">THREAD &amp; SALT</w:t>
    </w:r>
    <w:r>
      <w:rPr>
        <w:rFonts w:ascii="Calibri" w:cs="Calibri" w:eastAsia="Calibri" w:hAnsi="Calibri"/>
        <w:color w:val="5A5A5A"/>
        <w:sz w:val="15"/>
        <w:szCs w:val="15"/>
      </w:rPr>
      <w:t xml:space="preserve">	Engagement Proposal · Negative Zero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tabs>
        <w:tab w:val="right" w:pos="9360"/>
      </w:tabs>
    </w:pPr>
    <w:r>
      <w:rPr>
        <w:rFonts w:ascii="Calibri" w:cs="Calibri" w:eastAsia="Calibri" w:hAnsi="Calibri"/>
        <w:b/>
        <w:bCs/>
        <w:color w:val="1F3A4D"/>
        <w:sz w:val="15"/>
        <w:szCs w:val="15"/>
      </w:rPr>
      <w:t xml:space="preserve">THREAD &amp; SALT</w:t>
    </w:r>
    <w:r>
      <w:rPr>
        <w:rFonts w:ascii="Calibri" w:cs="Calibri" w:eastAsia="Calibri" w:hAnsi="Calibri"/>
        <w:color w:val="5A5A5A"/>
        <w:sz w:val="15"/>
        <w:szCs w:val="15"/>
      </w:rPr>
      <w:t xml:space="preserve">	Management Accounts —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2E6E7E"/>
      </w:rPr>
    </w:lvl>
    <w:lvl w:ilvl="1" w15:tentative="1">
      <w:start w:val="1"/>
      <w:numFmt w:val="bullet"/>
      <w:lvlText w:val="–"/>
      <w:lvlJc w:val="left"/>
      <w:pPr>
        <w:ind w:left="740" w:hanging="220"/>
      </w:pPr>
    </w:lvl>
  </w:abstractNum>
  <w:abstractNum w:abstractNumId="3" w15:restartNumberingAfterBreak="0">
    <w:multiLevelType w:val="hybridMultilevel"/>
    <w:lvl w:ilvl="0" w15:tentative="1">
      <w:start w:val="1"/>
      <w:numFmt w:val="decimal"/>
      <w:lvlText w:val="%1."/>
      <w:lvlJc w:val="left"/>
      <w:pPr>
        <w:ind w:left="380" w:hanging="260"/>
      </w:pPr>
    </w:lvl>
  </w:abstractNum>
  <w:abstractNum w:abstractNumId="4"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147fc4d6015ea8c54e7cf4e64f65ff916c060d6.png"/><Relationship Id="rId12" Type="http://schemas.openxmlformats.org/officeDocument/2006/relationships/image" Target="media/233b4323521937de603a4f0a94bade8da388f2c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 &amp; Salt — Proposal (final, Core)</dc:title>
  <dc:creator>Negative Zero</dc:creator>
  <cp:lastModifiedBy>Un-named</cp:lastModifiedBy>
  <cp:revision>1</cp:revision>
  <dcterms:created xsi:type="dcterms:W3CDTF">2026-07-25T14:18:03.973Z</dcterms:created>
  <dcterms:modified xsi:type="dcterms:W3CDTF">2026-07-25T14:18:03.976Z</dcterms:modified>
</cp:coreProperties>
</file>

<file path=docProps/custom.xml><?xml version="1.0" encoding="utf-8"?>
<Properties xmlns="http://schemas.openxmlformats.org/officeDocument/2006/custom-properties" xmlns:vt="http://schemas.openxmlformats.org/officeDocument/2006/docPropsVTypes"/>
</file>