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F3A4D"/>
          <w:sz w:val="46"/>
          <w:szCs w:val="46"/>
        </w:rPr>
        <w:t xml:space="preserve">Management Accounts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2E6E7E"/>
          <w:sz w:val="22"/>
          <w:szCs w:val="22"/>
        </w:rPr>
        <w:t xml:space="preserve">Sample report — the shape every month, quarter and year will arrive in</w:t>
      </w:r>
    </w:p>
    <w:p>
      <w:pPr>
        <w:pBdr>
          <w:bottom w:val="single" w:color="C9BFA8" w:sz="10" w:space="6"/>
        </w:pBdr>
        <w:spacing w:after="150"/>
      </w:pPr>
      <w:r>
        <w:rPr>
          <w:rFonts w:ascii="Calibri" w:cs="Calibri" w:eastAsia="Calibri" w:hAnsi="Calibri"/>
          <w:color w:val="5A5A5A"/>
          <w:sz w:val="17"/>
          <w:szCs w:val="17"/>
        </w:rPr>
        <w:t xml:space="preserve">Period covered: FY2024 – FY2026 year-to-date (through July 2026)  ·  Currency: GBP  ·  Basis: management information</w:t>
      </w:r>
    </w:p>
    <w:p>
      <w:pPr>
        <w:pStyle w:val="Heading1"/>
        <w:pBdr>
          <w:bottom w:val="single" w:color="C9BFA8" w:sz="8" w:space="6"/>
        </w:pBdr>
        <w:spacing w:after="110" w:before="30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At a glance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Thread &amp; Salt is profitable and growing. Full-year 2025 revenue reached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£638,802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 up </w:t>
      </w:r>
      <w:r>
        <w:rPr>
          <w:rFonts w:ascii="Calibri" w:cs="Calibri" w:eastAsia="Calibri" w:hAnsi="Calibri"/>
          <w:b/>
          <w:bCs/>
          <w:color w:val="3B6E4B"/>
          <w:sz w:val="21"/>
          <w:szCs w:val="21"/>
        </w:rPr>
        <w:t xml:space="preserve">8.5%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on 2024 — at a healthy and stable net margin. The figures below are the automated snapshot that would head every monthly pack.</w:t>
      </w:r>
    </w:p>
    <w:p>
      <w:pPr>
        <w:spacing w:after="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FFFFFF" w:sz="8"/>
          <w:insideV w:val="single" w:color="FFFFFF" w:sz="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ECE2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aps/>
                <w:color w:val="5A5A5A"/>
                <w:spacing w:val="20"/>
                <w:sz w:val="15"/>
                <w:szCs w:val="15"/>
              </w:rPr>
              <w:t xml:space="preserve">Revenue FY2025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30"/>
                <w:szCs w:val="30"/>
              </w:rPr>
              <w:t xml:space="preserve">£638,802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B6E4B"/>
                <w:sz w:val="16"/>
                <w:szCs w:val="16"/>
              </w:rPr>
              <w:t xml:space="preserve">▲ 8.5% vs FY2024</w:t>
            </w:r>
          </w:p>
        </w:tc>
        <w:tc>
          <w:tcPr>
            <w:tcW w:type="dxa" w:w="2340"/>
            <w:shd w:fill="F1ECE2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aps/>
                <w:color w:val="5A5A5A"/>
                <w:spacing w:val="20"/>
                <w:sz w:val="15"/>
                <w:szCs w:val="15"/>
              </w:rPr>
              <w:t xml:space="preserve">Gross margin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30"/>
                <w:szCs w:val="30"/>
              </w:rPr>
              <w:t xml:space="preserve">58%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6E7E"/>
                <w:sz w:val="16"/>
                <w:szCs w:val="16"/>
              </w:rPr>
              <w:t xml:space="preserve">Steady, all periods</w:t>
            </w:r>
          </w:p>
        </w:tc>
        <w:tc>
          <w:tcPr>
            <w:tcW w:type="dxa" w:w="2340"/>
            <w:shd w:fill="F1ECE2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aps/>
                <w:color w:val="5A5A5A"/>
                <w:spacing w:val="20"/>
                <w:sz w:val="15"/>
                <w:szCs w:val="15"/>
              </w:rPr>
              <w:t xml:space="preserve">Net profit FY2025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30"/>
                <w:szCs w:val="30"/>
              </w:rPr>
              <w:t xml:space="preserve">£147,823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6E7E"/>
                <w:sz w:val="16"/>
                <w:szCs w:val="16"/>
              </w:rPr>
              <w:t xml:space="preserve">23.1% net margin</w:t>
            </w:r>
          </w:p>
        </w:tc>
        <w:tc>
          <w:tcPr>
            <w:tcW w:type="dxa" w:w="2340"/>
            <w:shd w:fill="F1ECE2" w:color="auto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caps/>
                <w:color w:val="5A5A5A"/>
                <w:spacing w:val="20"/>
                <w:sz w:val="15"/>
                <w:szCs w:val="15"/>
              </w:rPr>
              <w:t xml:space="preserve">Rev / unit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30"/>
                <w:szCs w:val="30"/>
              </w:rPr>
              <w:t xml:space="preserve">≈ £64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6E7E"/>
                <w:sz w:val="16"/>
                <w:szCs w:val="16"/>
              </w:rPr>
              <w:t xml:space="preserve">Stable pricing power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BFA8" w:sz="8" w:space="6"/>
        </w:pBdr>
        <w:spacing w:after="110" w:before="30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Profit &amp; loss summary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Revenue, cost of goods, operating costs and profit, at annual level. FY2026 is year-to-date through July, so it is a part-year figure and not directly comparable to the full years.</w:t>
      </w:r>
    </w:p>
    <w:tbl>
      <w:tblPr>
        <w:tblW w:type="dxa" w:w="9360"/>
        <w:tblBorders>
          <w:top w:val="single" w:color="C9BFA8" w:sz="2"/>
          <w:left w:val="none"/>
          <w:bottom w:val="single" w:color="C9BFA8" w:sz="2"/>
          <w:right w:val="none"/>
          <w:insideH w:val="single" w:color="E4DECF" w:sz="2"/>
          <w:insideV w:val="none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£</w:t>
            </w:r>
          </w:p>
        </w:tc>
        <w:tc>
          <w:tcPr>
            <w:tcW w:type="dxa" w:w="200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FY2024</w:t>
            </w:r>
          </w:p>
        </w:tc>
        <w:tc>
          <w:tcPr>
            <w:tcW w:type="dxa" w:w="200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FY2025</w:t>
            </w:r>
          </w:p>
        </w:tc>
        <w:tc>
          <w:tcPr>
            <w:tcW w:type="dxa" w:w="200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FY2026 YTD</w:t>
            </w:r>
          </w:p>
        </w:tc>
      </w:tr>
      <w:tr>
        <w:tc>
          <w:tcPr>
            <w:tcW w:type="dxa" w:w="336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Revenue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£588,800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£638,802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£347,342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 Cost of goods sold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£247,296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£268,297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£145,884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Gross profit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£341,504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£370,505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£201,458</w:t>
            </w:r>
          </w:p>
        </w:tc>
      </w:tr>
      <w:tr>
        <w:tc>
          <w:tcPr>
            <w:tcW w:type="dxa" w:w="336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58%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58%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58%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 Marketing &amp; advertising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£82,432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£89,432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£48,628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 Fulfilment &amp; shipping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£52,992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£57,492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£31,261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 Platform &amp; payment fees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£20,608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£22,358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£12,157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 Founders' compensation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£38,400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£42,000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£25,900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   Software &amp; other overhead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£10,200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£11,400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£6,650</w:t>
            </w:r>
          </w:p>
        </w:tc>
      </w:tr>
      <w:tr>
        <w:tc>
          <w:tcPr>
            <w:tcW w:type="dxa" w:w="336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Total operating expenses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£204,632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£222,683</w:t>
            </w:r>
          </w:p>
        </w:tc>
        <w:tc>
          <w:tcPr>
            <w:tcW w:type="dxa" w:w="200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£124,596</w:t>
            </w:r>
          </w:p>
        </w:tc>
      </w:tr>
      <w:tr>
        <w:tc>
          <w:tcPr>
            <w:tcW w:type="dxa" w:w="3360"/>
            <w:shd w:fill="F1ECE2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Net profit</w:t>
            </w:r>
          </w:p>
        </w:tc>
        <w:tc>
          <w:tcPr>
            <w:tcW w:type="dxa" w:w="2000"/>
            <w:shd w:fill="F1ECE2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£136,872</w:t>
            </w:r>
          </w:p>
        </w:tc>
        <w:tc>
          <w:tcPr>
            <w:tcW w:type="dxa" w:w="2000"/>
            <w:shd w:fill="F1ECE2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£147,823</w:t>
            </w:r>
          </w:p>
        </w:tc>
        <w:tc>
          <w:tcPr>
            <w:tcW w:type="dxa" w:w="2000"/>
            <w:shd w:fill="F1ECE2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9"/>
                <w:szCs w:val="19"/>
              </w:rPr>
              <w:t xml:space="preserve">£76,863</w:t>
            </w:r>
          </w:p>
        </w:tc>
      </w:tr>
      <w:tr>
        <w:tc>
          <w:tcPr>
            <w:tcW w:type="dxa" w:w="336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6E7E"/>
                <w:sz w:val="19"/>
                <w:szCs w:val="19"/>
              </w:rPr>
              <w:t xml:space="preserve">Net margin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6E7E"/>
                <w:sz w:val="19"/>
                <w:szCs w:val="19"/>
              </w:rPr>
              <w:t xml:space="preserve">23.2%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6E7E"/>
                <w:sz w:val="19"/>
                <w:szCs w:val="19"/>
              </w:rPr>
              <w:t xml:space="preserve">23.1%</w:t>
            </w:r>
          </w:p>
        </w:tc>
        <w:tc>
          <w:tcPr>
            <w:tcW w:type="dxa" w:w="200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6E7E"/>
                <w:sz w:val="19"/>
                <w:szCs w:val="19"/>
              </w:rPr>
              <w:t xml:space="preserve">22.1%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F3A4D"/>
          <w:sz w:val="21"/>
          <w:szCs w:val="21"/>
        </w:rPr>
        <w:t xml:space="preserve">Read this: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gross margin is rock-steady at 58%, so the business keeps a consistent slice of every sale. Because some costs are fixed, a soft revenue month squeezes net margin a little harder than the revenue drop alone — worth remembering when a quiet month lands.</w:t>
      </w:r>
    </w:p>
    <w:p>
      <w:r>
        <w:br w:type="page"/>
      </w:r>
    </w:p>
    <w:p>
      <w:pPr>
        <w:pStyle w:val="Heading1"/>
        <w:pBdr>
          <w:bottom w:val="single" w:color="C9BFA8" w:sz="8" w:space="6"/>
        </w:pBdr>
        <w:spacing w:after="110" w:before="30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Revenue trend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Monthly revenue since the order system went live in January 2024. The rhythm is clear: a strong Q4 lift each November–December, softer summers, and steady year-on-year growth — until the most recent month.</w:t>
      </w:r>
    </w:p>
    <w:p>
      <w:pPr>
        <w:spacing w:after="60" w:before="40"/>
        <w:jc w:val="center"/>
      </w:pPr>
      <w:r>
        <w:drawing>
          <wp:inline distT="0" distB="0" distL="0" distR="0">
            <wp:extent cx="5905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</w:p>
    <w:p>
      <w:pPr>
        <w:spacing w:after="60" w:before="40"/>
        <w:jc w:val="center"/>
      </w:pPr>
      <w:r>
        <w:drawing>
          <wp:inline distT="0" distB="0" distL="0" distR="0">
            <wp:extent cx="5905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</w:p>
    <w:tbl>
      <w:tblPr>
        <w:tblW w:type="dxa" w:w="9360"/>
        <w:tblBorders>
          <w:top w:val="single" w:color="C9BFA8" w:sz="2"/>
          <w:left w:val="none"/>
          <w:bottom w:val="single" w:color="C9BFA8" w:sz="2"/>
          <w:right w:val="none"/>
          <w:insideH w:val="single" w:color="E4DECF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Quarter</w:t>
            </w:r>
          </w:p>
        </w:tc>
        <w:tc>
          <w:tcPr>
            <w:tcW w:type="dxa" w:w="234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FY2024</w:t>
            </w:r>
          </w:p>
        </w:tc>
        <w:tc>
          <w:tcPr>
            <w:tcW w:type="dxa" w:w="234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FY2025</w:t>
            </w:r>
          </w:p>
        </w:tc>
        <w:tc>
          <w:tcPr>
            <w:tcW w:type="dxa" w:w="2340"/>
            <w:shd w:fill="1F3A4D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FY2026</w:t>
            </w:r>
          </w:p>
        </w:tc>
      </w:tr>
      <w:tr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Q1</w:t>
            </w:r>
          </w:p>
        </w:tc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£136,431</w:t>
            </w:r>
          </w:p>
        </w:tc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£148,518</w:t>
            </w:r>
          </w:p>
        </w:tc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£153,302</w:t>
            </w:r>
          </w:p>
        </w:tc>
      </w:tr>
      <w:tr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Q2</w:t>
            </w:r>
          </w:p>
        </w:tc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£135,531</w:t>
            </w:r>
          </w:p>
        </w:tc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£148,876</w:t>
            </w:r>
          </w:p>
        </w:tc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£152,190</w:t>
            </w:r>
          </w:p>
        </w:tc>
      </w:tr>
      <w:tr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Q3</w:t>
            </w:r>
          </w:p>
        </w:tc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£144,768</w:t>
            </w:r>
          </w:p>
        </w:tc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£154,628</w:t>
            </w:r>
          </w:p>
        </w:tc>
        <w:tc>
          <w:tcPr>
            <w:tcW w:type="dxa" w:w="2340"/>
            <w:shd w:fill="F7F4EE" w:color="auto" w:val="clear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4553F"/>
                <w:sz w:val="19"/>
                <w:szCs w:val="19"/>
              </w:rPr>
              <w:t xml:space="preserve">£41,850 *</w:t>
            </w:r>
          </w:p>
        </w:tc>
      </w:tr>
      <w:tr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Q4</w:t>
            </w:r>
          </w:p>
        </w:tc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£172,070</w:t>
            </w:r>
          </w:p>
        </w:tc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£186,780</w:t>
            </w:r>
          </w:p>
        </w:tc>
        <w:tc>
          <w:tcPr>
            <w:tcW w:type="dxa" w:w="2340"/>
            <w:tcMar>
              <w:top w:type="dxa" w:w="46"/>
              <w:left w:type="dxa" w:w="100"/>
              <w:bottom w:type="dxa" w:w="46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A5A5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i/>
          <w:iCs/>
          <w:color w:val="5A5A5A"/>
          <w:sz w:val="16"/>
          <w:szCs w:val="16"/>
        </w:rPr>
        <w:t xml:space="preserve">* FY2026 Q3 = July only (one month), not a full quarter.</w:t>
      </w:r>
    </w:p>
    <w:p>
      <w:pPr>
        <w:pStyle w:val="Heading1"/>
        <w:pBdr>
          <w:bottom w:val="single" w:color="C9BFA8" w:sz="8" w:space="6"/>
        </w:pBdr>
        <w:spacing w:after="110" w:before="300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What the agent flagged this month</w:t>
      </w:r>
    </w:p>
    <w:p>
      <w:pPr>
        <w:spacing w:after="12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is the kind of proactive signal the stretch agent surfaces automatically — observe, analyse, recommend:</w:t>
      </w:r>
    </w:p>
    <w:tbl>
      <w:tblPr>
        <w:tblW w:type="dxa" w:w="9360"/>
        <w:tblBorders>
          <w:top w:val="single" w:color="B4553F" w:sz="12"/>
          <w:left w:val="single" w:color="B4553F" w:sz="12"/>
          <w:bottom w:val="single" w:color="C9BFA8" w:sz="2"/>
          <w:right w:val="single" w:color="C9BFA8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4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53F"/>
                <w:sz w:val="22"/>
                <w:szCs w:val="22"/>
              </w:rPr>
              <w:t xml:space="preserve">⚠  Watch — July revenue broke trend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July 2026 came in at £41,850 — down 24.4% on June and down 22.0% on July last year.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Every previous July grew year-on-year; this is the first month to fall below the same month a year earlier.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20"/>
                <w:szCs w:val="20"/>
              </w:rPr>
              <w:t xml:space="preserve">Context: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first-half 2026 revenue (£305,492) grew only 2.7% over first-half 2025 — well below the 8.5% full-year pace of 2024→2025. Growth was already cooling before July's drop.</w:t>
            </w:r>
          </w:p>
          <w:p>
            <w:r>
              <w:rPr>
                <w:rFonts w:ascii="Calibri" w:cs="Calibri" w:eastAsia="Calibri" w:hAnsi="Calibri"/>
                <w:b/>
                <w:bCs/>
                <w:color w:val="3B6E4B"/>
                <w:sz w:val="20"/>
                <w:szCs w:val="20"/>
              </w:rPr>
              <w:t xml:space="preserve">Recommended action: </w:t>
            </w: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treat July as a signal, not noise. Check whether a hero line (e.g. the Corail Linen Wrap Dress) sold through or stocked out, confirm marketing spend didn't pause, and line up an August mailing-list drop ahead of the reliable Q4 lift. The agent will re-check next month and tell you if the trend continues.</w:t>
            </w:r>
          </w:p>
        </w:tc>
      </w:tr>
    </w:tbl>
    <w:p>
      <w:pPr>
        <w:spacing w:after="120"/>
      </w:pPr>
    </w:p>
    <w:p>
      <w:pPr>
        <w:pBdr>
          <w:top w:val="single" w:color="C9BFA8" w:sz="4" w:space="6"/>
        </w:pBdr>
        <w:spacing w:before="40"/>
      </w:pPr>
      <w:r>
        <w:rPr>
          <w:rFonts w:ascii="Calibri" w:cs="Calibri" w:eastAsia="Calibri" w:hAnsi="Calibri"/>
          <w:b/>
          <w:bCs/>
          <w:color w:val="5A5A5A"/>
          <w:sz w:val="16"/>
          <w:szCs w:val="16"/>
        </w:rPr>
        <w:t xml:space="preserve">Notes.  </w:t>
      </w:r>
      <w:r>
        <w:rPr>
          <w:rFonts w:ascii="Calibri" w:cs="Calibri" w:eastAsia="Calibri" w:hAnsi="Calibri"/>
          <w:color w:val="5A5A5A"/>
          <w:sz w:val="16"/>
          <w:szCs w:val="16"/>
        </w:rPr>
        <w:t xml:space="preserve">Management information for internal decisions — not audited or statutory accounts. Monthly detail begins Jan 2024 (the order system's start); earlier years are annual-only. COGS modelled at 42% of revenue per the company's product costing. This is a sample built from the shared history to show format and rigour; the live monthly pack regenerates automatically in this same shape.</w:t>
      </w:r>
    </w:p>
    <w:sectPr>
      <w:headerReference w:type="default" r:id="rId7"/>
      <w:footerReference w:type="default" r:id="rId8"/>
      <w:pgSz w:w="12240" w:h="15840" w:orient="portrait"/>
      <w:pgMar w:top="136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5A5A"/>
        <w:sz w:val="14"/>
        <w:szCs w:val="14"/>
      </w:rPr>
      <w:t xml:space="preserve">Prepared by Negative Zero · figures from client sales data</w:t>
    </w:r>
    <w:r>
      <w:rPr>
        <w:rFonts w:ascii="Calibri" w:cs="Calibri" w:eastAsia="Calibri" w:hAnsi="Calibri"/>
        <w:color w:val="5A5A5A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FA8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3A4D"/>
        <w:sz w:val="15"/>
        <w:szCs w:val="15"/>
      </w:rPr>
      <w:t xml:space="preserve">THREAD &amp; SALT</w:t>
    </w:r>
    <w:r>
      <w:rPr>
        <w:rFonts w:ascii="Calibri" w:cs="Calibri" w:eastAsia="Calibri" w:hAnsi="Calibri"/>
        <w:color w:val="5A5A5A"/>
        <w:sz w:val="15"/>
        <w:szCs w:val="15"/>
      </w:rPr>
      <w:t xml:space="preserve">	Management Accounts — SAMPLE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0"/>
      </w:pPr>
      <w:rPr>
        <w:color w:val="2E6E7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47fc4d6015ea8c54e7cf4e64f65ff916c060d6.png"/><Relationship Id="rId10" Type="http://schemas.openxmlformats.org/officeDocument/2006/relationships/image" Target="media/233b4323521937de603a4f0a94bade8da388f2c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 &amp; Salt — Sample Management Accounts</dc:title>
  <dc:creator>Negative Zero</dc:creator>
  <cp:lastModifiedBy>Un-named</cp:lastModifiedBy>
  <cp:revision>1</cp:revision>
  <dcterms:created xsi:type="dcterms:W3CDTF">2026-07-22T16:48:38.462Z</dcterms:created>
  <dcterms:modified xsi:type="dcterms:W3CDTF">2026-07-22T16:48:38.462Z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