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190AA" w14:textId="5ECAB011" w:rsidR="006F3DD8" w:rsidRDefault="006F3DD8" w:rsidP="006F3DD8">
      <w:pPr>
        <w:pStyle w:val="NormalWeb"/>
      </w:pPr>
      <w:r w:rsidRPr="006F3DD8">
        <w:rPr>
          <w:rFonts w:ascii="Arial" w:hAnsi="Arial" w:cs="Arial"/>
          <w:b/>
          <w:bCs/>
          <w:color w:val="FF0000"/>
          <w:sz w:val="20"/>
          <w:szCs w:val="20"/>
          <w:highlight w:val="yellow"/>
        </w:rPr>
        <w:t>All PPE requirements apply to all personnel working in these areas and to ensure compliance with the OSHA standard for Personal Protective Equipment 29 CFR 1910.132, for the general rules for PPE see document # 1390.</w:t>
      </w:r>
      <w:r>
        <w:rPr>
          <w:rFonts w:ascii="Arial" w:hAnsi="Arial" w:cs="Arial"/>
          <w:b/>
          <w:bCs/>
          <w:color w:val="FF0000"/>
          <w:sz w:val="20"/>
          <w:szCs w:val="20"/>
        </w:rPr>
        <w:t xml:space="preserve"> </w:t>
      </w:r>
    </w:p>
    <w:p w14:paraId="63878C4B" w14:textId="77777777" w:rsidR="006F3DD8" w:rsidRDefault="006F3DD8" w:rsidP="006F3DD8">
      <w:pPr>
        <w:pStyle w:val="NormalWeb"/>
      </w:pPr>
      <w:r>
        <w:rPr>
          <w:rFonts w:ascii="Arial" w:hAnsi="Arial" w:cs="Arial"/>
          <w:b/>
          <w:bCs/>
          <w:color w:val="008000"/>
        </w:rPr>
        <w:t>Melting and Casting</w:t>
      </w:r>
    </w:p>
    <w:p w14:paraId="621DFE79" w14:textId="1A78E225" w:rsidR="006F3DD8" w:rsidRDefault="006F3DD8" w:rsidP="006F3DD8">
      <w:pPr>
        <w:pStyle w:val="NormalWeb"/>
      </w:pPr>
      <w:r>
        <w:t xml:space="preserve">Melting and Casting PPE is in </w:t>
      </w:r>
      <w:r w:rsidRPr="006F3DD8">
        <w:rPr>
          <w:highlight w:val="yellow"/>
        </w:rPr>
        <w:t>document # 1007.</w:t>
      </w:r>
    </w:p>
    <w:p w14:paraId="33B85102" w14:textId="77777777" w:rsidR="006F3DD8" w:rsidRDefault="006F3DD8" w:rsidP="006F3DD8">
      <w:pPr>
        <w:pStyle w:val="NormalWeb"/>
      </w:pPr>
      <w:r>
        <w:rPr>
          <w:rFonts w:ascii="Arial" w:hAnsi="Arial" w:cs="Arial"/>
          <w:b/>
          <w:bCs/>
          <w:color w:val="008000"/>
        </w:rPr>
        <w:t xml:space="preserve">Rolling and Finishing </w:t>
      </w:r>
    </w:p>
    <w:tbl>
      <w:tblPr>
        <w:tblW w:w="86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8"/>
        <w:gridCol w:w="3747"/>
      </w:tblGrid>
      <w:tr w:rsidR="006F3DD8" w14:paraId="34D57DBF" w14:textId="77777777" w:rsidTr="00BB7D9B">
        <w:tc>
          <w:tcPr>
            <w:tcW w:w="28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41088687" w14:textId="77777777" w:rsidR="006F3DD8" w:rsidRDefault="006F3DD8" w:rsidP="00BB7D9B">
            <w:r>
              <w:rPr>
                <w:rFonts w:ascii="Arial" w:hAnsi="Arial" w:cs="Arial"/>
                <w:b/>
                <w:bCs/>
                <w:color w:val="FFFFFF"/>
              </w:rPr>
              <w:t>Operation / Location</w:t>
            </w:r>
          </w:p>
        </w:tc>
        <w:tc>
          <w:tcPr>
            <w:tcW w:w="215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7F1DC9D9" w14:textId="77777777" w:rsidR="006F3DD8" w:rsidRDefault="006F3DD8" w:rsidP="00BB7D9B">
            <w:r>
              <w:rPr>
                <w:rFonts w:ascii="Arial" w:hAnsi="Arial" w:cs="Arial"/>
                <w:b/>
                <w:bCs/>
                <w:color w:val="FFFFFF"/>
              </w:rPr>
              <w:t>PPE Required</w:t>
            </w:r>
          </w:p>
        </w:tc>
      </w:tr>
      <w:tr w:rsidR="006F3DD8" w14:paraId="00253EDB" w14:textId="77777777" w:rsidTr="00BB7D9B">
        <w:trPr>
          <w:trHeight w:val="1533"/>
        </w:trPr>
        <w:tc>
          <w:tcPr>
            <w:tcW w:w="2800" w:type="pct"/>
            <w:tcBorders>
              <w:top w:val="outset" w:sz="6" w:space="0" w:color="auto"/>
              <w:left w:val="outset" w:sz="6" w:space="0" w:color="auto"/>
              <w:bottom w:val="outset" w:sz="6" w:space="0" w:color="auto"/>
              <w:right w:val="outset" w:sz="6" w:space="0" w:color="auto"/>
            </w:tcBorders>
            <w:hideMark/>
          </w:tcPr>
          <w:p w14:paraId="7D45E239" w14:textId="77777777" w:rsidR="006F3DD8" w:rsidRDefault="006F3DD8" w:rsidP="00BB7D9B">
            <w:r>
              <w:rPr>
                <w:rFonts w:ascii="Arial" w:hAnsi="Arial" w:cs="Arial"/>
                <w:b/>
                <w:bCs/>
                <w:sz w:val="20"/>
                <w:szCs w:val="20"/>
              </w:rPr>
              <w:t>Rolling &amp; Finishing &amp; Heat Treat</w:t>
            </w:r>
          </w:p>
        </w:tc>
        <w:tc>
          <w:tcPr>
            <w:tcW w:w="2150" w:type="pct"/>
            <w:tcBorders>
              <w:top w:val="outset" w:sz="6" w:space="0" w:color="auto"/>
              <w:left w:val="outset" w:sz="6" w:space="0" w:color="auto"/>
              <w:bottom w:val="outset" w:sz="6" w:space="0" w:color="auto"/>
              <w:right w:val="outset" w:sz="6" w:space="0" w:color="auto"/>
            </w:tcBorders>
            <w:hideMark/>
          </w:tcPr>
          <w:p w14:paraId="7D049CBD" w14:textId="77777777" w:rsidR="006F3DD8" w:rsidRDefault="006F3DD8" w:rsidP="00BB7D9B">
            <w:pPr>
              <w:numPr>
                <w:ilvl w:val="0"/>
                <w:numId w:val="10"/>
              </w:numPr>
              <w:spacing w:before="100" w:beforeAutospacing="1" w:after="100" w:afterAutospacing="1"/>
            </w:pPr>
            <w:r>
              <w:rPr>
                <w:rFonts w:ascii="Arial" w:hAnsi="Arial" w:cs="Arial"/>
                <w:b/>
                <w:bCs/>
                <w:sz w:val="20"/>
                <w:szCs w:val="20"/>
              </w:rPr>
              <w:t>Hard Hat</w:t>
            </w:r>
            <w:r>
              <w:t xml:space="preserve"> </w:t>
            </w:r>
          </w:p>
          <w:p w14:paraId="34FDFE90" w14:textId="77777777" w:rsidR="006F3DD8" w:rsidRDefault="006F3DD8" w:rsidP="00BB7D9B">
            <w:pPr>
              <w:numPr>
                <w:ilvl w:val="0"/>
                <w:numId w:val="10"/>
              </w:numPr>
              <w:spacing w:before="100" w:beforeAutospacing="1" w:after="100" w:afterAutospacing="1"/>
            </w:pPr>
            <w:r>
              <w:rPr>
                <w:rFonts w:ascii="Arial" w:hAnsi="Arial" w:cs="Arial"/>
                <w:b/>
                <w:bCs/>
                <w:sz w:val="20"/>
                <w:szCs w:val="20"/>
              </w:rPr>
              <w:t>Metatarsal Boots</w:t>
            </w:r>
            <w:r>
              <w:t xml:space="preserve"> </w:t>
            </w:r>
          </w:p>
          <w:p w14:paraId="0F1BB68D" w14:textId="77777777" w:rsidR="006F3DD8" w:rsidRDefault="006F3DD8" w:rsidP="00BB7D9B">
            <w:pPr>
              <w:numPr>
                <w:ilvl w:val="0"/>
                <w:numId w:val="10"/>
              </w:numPr>
              <w:spacing w:before="100" w:beforeAutospacing="1" w:after="100" w:afterAutospacing="1"/>
            </w:pPr>
            <w:r>
              <w:rPr>
                <w:rFonts w:ascii="Arial" w:hAnsi="Arial" w:cs="Arial"/>
                <w:b/>
                <w:bCs/>
                <w:sz w:val="20"/>
                <w:szCs w:val="20"/>
              </w:rPr>
              <w:t>Safety Glasses</w:t>
            </w:r>
            <w:r>
              <w:t xml:space="preserve"> </w:t>
            </w:r>
          </w:p>
          <w:p w14:paraId="353709B4" w14:textId="77777777" w:rsidR="006F3DD8" w:rsidRDefault="006F3DD8" w:rsidP="00BB7D9B">
            <w:pPr>
              <w:numPr>
                <w:ilvl w:val="0"/>
                <w:numId w:val="10"/>
              </w:numPr>
              <w:spacing w:before="100" w:beforeAutospacing="1" w:after="100" w:afterAutospacing="1"/>
            </w:pPr>
            <w:r>
              <w:rPr>
                <w:rFonts w:ascii="Arial" w:hAnsi="Arial" w:cs="Arial"/>
                <w:b/>
                <w:bCs/>
                <w:sz w:val="20"/>
                <w:szCs w:val="20"/>
              </w:rPr>
              <w:t>Hearing Protection</w:t>
            </w:r>
            <w:r>
              <w:t xml:space="preserve"> </w:t>
            </w:r>
          </w:p>
          <w:p w14:paraId="1B7C0700" w14:textId="77777777" w:rsidR="006F3DD8" w:rsidRDefault="006F3DD8" w:rsidP="00BB7D9B">
            <w:pPr>
              <w:numPr>
                <w:ilvl w:val="0"/>
                <w:numId w:val="10"/>
              </w:numPr>
              <w:spacing w:before="100" w:beforeAutospacing="1" w:after="100" w:afterAutospacing="1"/>
            </w:pPr>
            <w:r>
              <w:rPr>
                <w:rFonts w:ascii="Arial" w:hAnsi="Arial" w:cs="Arial"/>
                <w:b/>
                <w:bCs/>
                <w:sz w:val="20"/>
                <w:szCs w:val="20"/>
              </w:rPr>
              <w:t xml:space="preserve">Long </w:t>
            </w:r>
            <w:r w:rsidRPr="003325E6">
              <w:rPr>
                <w:rFonts w:ascii="Arial" w:hAnsi="Arial" w:cs="Arial"/>
                <w:b/>
                <w:bCs/>
                <w:sz w:val="20"/>
                <w:szCs w:val="20"/>
              </w:rPr>
              <w:t>Sleeves</w:t>
            </w:r>
            <w:r w:rsidRPr="003325E6">
              <w:rPr>
                <w:b/>
              </w:rPr>
              <w:t xml:space="preserve"> and Pants</w:t>
            </w:r>
          </w:p>
        </w:tc>
      </w:tr>
      <w:tr w:rsidR="006F3DD8" w14:paraId="003F29DE" w14:textId="77777777" w:rsidTr="00BB7D9B">
        <w:tc>
          <w:tcPr>
            <w:tcW w:w="2800" w:type="pct"/>
            <w:tcBorders>
              <w:top w:val="outset" w:sz="6" w:space="0" w:color="auto"/>
              <w:left w:val="outset" w:sz="6" w:space="0" w:color="auto"/>
              <w:bottom w:val="outset" w:sz="6" w:space="0" w:color="auto"/>
              <w:right w:val="outset" w:sz="6" w:space="0" w:color="auto"/>
            </w:tcBorders>
            <w:hideMark/>
          </w:tcPr>
          <w:p w14:paraId="2FE8FF59" w14:textId="77777777" w:rsidR="006F3DD8" w:rsidRDefault="006F3DD8" w:rsidP="00BB7D9B">
            <w:r>
              <w:rPr>
                <w:rFonts w:ascii="Arial" w:hAnsi="Arial" w:cs="Arial"/>
                <w:b/>
                <w:bCs/>
                <w:sz w:val="20"/>
                <w:szCs w:val="20"/>
              </w:rPr>
              <w:t>Roll Shop</w:t>
            </w:r>
          </w:p>
        </w:tc>
        <w:tc>
          <w:tcPr>
            <w:tcW w:w="2150" w:type="pct"/>
            <w:tcBorders>
              <w:top w:val="outset" w:sz="6" w:space="0" w:color="auto"/>
              <w:left w:val="outset" w:sz="6" w:space="0" w:color="auto"/>
              <w:bottom w:val="outset" w:sz="6" w:space="0" w:color="auto"/>
              <w:right w:val="outset" w:sz="6" w:space="0" w:color="auto"/>
            </w:tcBorders>
            <w:hideMark/>
          </w:tcPr>
          <w:p w14:paraId="1898BE1F" w14:textId="77777777" w:rsidR="006F3DD8" w:rsidRDefault="006F3DD8" w:rsidP="00BB7D9B">
            <w:pPr>
              <w:numPr>
                <w:ilvl w:val="0"/>
                <w:numId w:val="11"/>
              </w:numPr>
              <w:spacing w:before="100" w:beforeAutospacing="1" w:after="100" w:afterAutospacing="1"/>
            </w:pPr>
            <w:r>
              <w:rPr>
                <w:rFonts w:ascii="Arial" w:hAnsi="Arial" w:cs="Arial"/>
                <w:b/>
                <w:bCs/>
                <w:sz w:val="20"/>
                <w:szCs w:val="20"/>
              </w:rPr>
              <w:t>Hard Hat</w:t>
            </w:r>
            <w:r>
              <w:t xml:space="preserve"> </w:t>
            </w:r>
          </w:p>
          <w:p w14:paraId="36C26362" w14:textId="77777777" w:rsidR="006F3DD8" w:rsidRDefault="006F3DD8" w:rsidP="00BB7D9B">
            <w:pPr>
              <w:numPr>
                <w:ilvl w:val="0"/>
                <w:numId w:val="11"/>
              </w:numPr>
              <w:spacing w:before="100" w:beforeAutospacing="1" w:after="100" w:afterAutospacing="1"/>
            </w:pPr>
            <w:r>
              <w:rPr>
                <w:rFonts w:ascii="Arial" w:hAnsi="Arial" w:cs="Arial"/>
                <w:b/>
                <w:bCs/>
                <w:sz w:val="20"/>
                <w:szCs w:val="20"/>
              </w:rPr>
              <w:t>Metatarsal Boots</w:t>
            </w:r>
            <w:r>
              <w:t xml:space="preserve"> </w:t>
            </w:r>
          </w:p>
          <w:p w14:paraId="5A6B8250" w14:textId="77777777" w:rsidR="006F3DD8" w:rsidRDefault="006F3DD8" w:rsidP="00BB7D9B">
            <w:pPr>
              <w:numPr>
                <w:ilvl w:val="0"/>
                <w:numId w:val="11"/>
              </w:numPr>
              <w:spacing w:before="100" w:beforeAutospacing="1" w:after="100" w:afterAutospacing="1"/>
            </w:pPr>
            <w:r>
              <w:rPr>
                <w:rFonts w:ascii="Arial" w:hAnsi="Arial" w:cs="Arial"/>
                <w:b/>
                <w:bCs/>
                <w:sz w:val="20"/>
                <w:szCs w:val="20"/>
              </w:rPr>
              <w:t>Safety Glasses</w:t>
            </w:r>
            <w:r>
              <w:t xml:space="preserve"> </w:t>
            </w:r>
          </w:p>
          <w:p w14:paraId="69731D7D" w14:textId="77777777" w:rsidR="006F3DD8" w:rsidRDefault="006F3DD8" w:rsidP="00BB7D9B">
            <w:pPr>
              <w:numPr>
                <w:ilvl w:val="0"/>
                <w:numId w:val="11"/>
              </w:numPr>
              <w:spacing w:before="100" w:beforeAutospacing="1" w:after="100" w:afterAutospacing="1"/>
            </w:pPr>
            <w:r>
              <w:rPr>
                <w:rFonts w:ascii="Arial" w:hAnsi="Arial" w:cs="Arial"/>
                <w:b/>
                <w:bCs/>
                <w:sz w:val="20"/>
                <w:szCs w:val="20"/>
              </w:rPr>
              <w:t>Hearing Protection</w:t>
            </w:r>
            <w:r>
              <w:t xml:space="preserve"> </w:t>
            </w:r>
          </w:p>
        </w:tc>
      </w:tr>
      <w:tr w:rsidR="006F3DD8" w14:paraId="3C9F65F5" w14:textId="77777777" w:rsidTr="00BB7D9B">
        <w:tc>
          <w:tcPr>
            <w:tcW w:w="2800" w:type="pct"/>
            <w:tcBorders>
              <w:top w:val="outset" w:sz="6" w:space="0" w:color="auto"/>
              <w:left w:val="outset" w:sz="6" w:space="0" w:color="auto"/>
              <w:bottom w:val="outset" w:sz="6" w:space="0" w:color="auto"/>
              <w:right w:val="outset" w:sz="6" w:space="0" w:color="auto"/>
            </w:tcBorders>
            <w:hideMark/>
          </w:tcPr>
          <w:p w14:paraId="1235DAE1" w14:textId="77777777" w:rsidR="006F3DD8" w:rsidRDefault="006F3DD8" w:rsidP="00BB7D9B">
            <w:r>
              <w:rPr>
                <w:rFonts w:ascii="Arial" w:hAnsi="Arial" w:cs="Arial"/>
                <w:b/>
                <w:bCs/>
                <w:sz w:val="20"/>
                <w:szCs w:val="20"/>
              </w:rPr>
              <w:t xml:space="preserve">Cutting or </w:t>
            </w:r>
            <w:proofErr w:type="gramStart"/>
            <w:r>
              <w:rPr>
                <w:rFonts w:ascii="Arial" w:hAnsi="Arial" w:cs="Arial"/>
                <w:b/>
                <w:bCs/>
                <w:sz w:val="20"/>
                <w:szCs w:val="20"/>
              </w:rPr>
              <w:t>Burning</w:t>
            </w:r>
            <w:proofErr w:type="gramEnd"/>
          </w:p>
        </w:tc>
        <w:tc>
          <w:tcPr>
            <w:tcW w:w="2150" w:type="pct"/>
            <w:tcBorders>
              <w:top w:val="outset" w:sz="6" w:space="0" w:color="auto"/>
              <w:left w:val="outset" w:sz="6" w:space="0" w:color="auto"/>
              <w:bottom w:val="outset" w:sz="6" w:space="0" w:color="auto"/>
              <w:right w:val="outset" w:sz="6" w:space="0" w:color="auto"/>
            </w:tcBorders>
            <w:hideMark/>
          </w:tcPr>
          <w:p w14:paraId="371AAA2E" w14:textId="77777777" w:rsidR="006F3DD8" w:rsidRDefault="006F3DD8" w:rsidP="00BB7D9B">
            <w:pPr>
              <w:numPr>
                <w:ilvl w:val="0"/>
                <w:numId w:val="12"/>
              </w:numPr>
              <w:spacing w:before="100" w:beforeAutospacing="1" w:after="100" w:afterAutospacing="1"/>
            </w:pPr>
            <w:r>
              <w:rPr>
                <w:rFonts w:ascii="Arial" w:hAnsi="Arial" w:cs="Arial"/>
                <w:b/>
                <w:bCs/>
                <w:sz w:val="20"/>
                <w:szCs w:val="20"/>
              </w:rPr>
              <w:t>Hard Hat</w:t>
            </w:r>
            <w:r>
              <w:t xml:space="preserve"> </w:t>
            </w:r>
          </w:p>
          <w:p w14:paraId="14FF70A6" w14:textId="77777777" w:rsidR="006F3DD8" w:rsidRDefault="006F3DD8" w:rsidP="00BB7D9B">
            <w:pPr>
              <w:numPr>
                <w:ilvl w:val="0"/>
                <w:numId w:val="12"/>
              </w:numPr>
              <w:spacing w:before="100" w:beforeAutospacing="1" w:after="100" w:afterAutospacing="1"/>
            </w:pPr>
            <w:r>
              <w:rPr>
                <w:rFonts w:ascii="Arial" w:hAnsi="Arial" w:cs="Arial"/>
                <w:b/>
                <w:bCs/>
                <w:sz w:val="20"/>
                <w:szCs w:val="20"/>
              </w:rPr>
              <w:t>Metatarsal Boots</w:t>
            </w:r>
            <w:r>
              <w:t xml:space="preserve"> </w:t>
            </w:r>
          </w:p>
          <w:p w14:paraId="2691565D" w14:textId="77777777" w:rsidR="006F3DD8" w:rsidRDefault="006F3DD8" w:rsidP="00BB7D9B">
            <w:pPr>
              <w:numPr>
                <w:ilvl w:val="0"/>
                <w:numId w:val="12"/>
              </w:numPr>
              <w:spacing w:before="100" w:beforeAutospacing="1" w:after="100" w:afterAutospacing="1"/>
            </w:pPr>
            <w:r>
              <w:rPr>
                <w:rFonts w:ascii="Arial" w:hAnsi="Arial" w:cs="Arial"/>
                <w:b/>
                <w:bCs/>
                <w:sz w:val="20"/>
                <w:szCs w:val="20"/>
              </w:rPr>
              <w:t>Safety Glasses</w:t>
            </w:r>
            <w:r>
              <w:t xml:space="preserve"> </w:t>
            </w:r>
          </w:p>
          <w:p w14:paraId="30AB0142" w14:textId="77777777" w:rsidR="006F3DD8" w:rsidRDefault="006F3DD8" w:rsidP="00BB7D9B">
            <w:pPr>
              <w:numPr>
                <w:ilvl w:val="0"/>
                <w:numId w:val="12"/>
              </w:numPr>
              <w:spacing w:before="100" w:beforeAutospacing="1" w:after="100" w:afterAutospacing="1"/>
            </w:pPr>
            <w:r>
              <w:rPr>
                <w:rFonts w:ascii="Arial" w:hAnsi="Arial" w:cs="Arial"/>
                <w:b/>
                <w:bCs/>
                <w:sz w:val="20"/>
                <w:szCs w:val="20"/>
              </w:rPr>
              <w:t>Hearing Protection</w:t>
            </w:r>
            <w:r>
              <w:t xml:space="preserve"> </w:t>
            </w:r>
          </w:p>
          <w:p w14:paraId="2B5C01CB" w14:textId="4CDBF4A1" w:rsidR="006F3DD8" w:rsidRPr="003325E6" w:rsidRDefault="006F3DD8" w:rsidP="00BB7D9B">
            <w:pPr>
              <w:numPr>
                <w:ilvl w:val="0"/>
                <w:numId w:val="12"/>
              </w:numPr>
              <w:spacing w:before="100" w:beforeAutospacing="1" w:after="100" w:afterAutospacing="1"/>
              <w:rPr>
                <w:b/>
              </w:rPr>
            </w:pPr>
            <w:r>
              <w:rPr>
                <w:rFonts w:ascii="Arial" w:hAnsi="Arial" w:cs="Arial"/>
                <w:b/>
                <w:bCs/>
                <w:sz w:val="20"/>
                <w:szCs w:val="20"/>
              </w:rPr>
              <w:t>Green Jacket</w:t>
            </w:r>
            <w:r>
              <w:t xml:space="preserve"> </w:t>
            </w:r>
            <w:r w:rsidRPr="003325E6">
              <w:rPr>
                <w:b/>
              </w:rPr>
              <w:t>or Flame-Retardant Shirt</w:t>
            </w:r>
          </w:p>
          <w:p w14:paraId="03BD80CC" w14:textId="77777777" w:rsidR="006F3DD8" w:rsidRDefault="006F3DD8" w:rsidP="00BB7D9B">
            <w:pPr>
              <w:numPr>
                <w:ilvl w:val="0"/>
                <w:numId w:val="12"/>
              </w:numPr>
              <w:spacing w:before="100" w:beforeAutospacing="1" w:after="100" w:afterAutospacing="1"/>
            </w:pPr>
            <w:r>
              <w:rPr>
                <w:rFonts w:ascii="Arial" w:hAnsi="Arial" w:cs="Arial"/>
                <w:b/>
                <w:bCs/>
                <w:sz w:val="20"/>
                <w:szCs w:val="20"/>
              </w:rPr>
              <w:t>Leather Gloves</w:t>
            </w:r>
            <w:r>
              <w:t xml:space="preserve"> </w:t>
            </w:r>
          </w:p>
          <w:p w14:paraId="1802C07E" w14:textId="77777777" w:rsidR="006F3DD8" w:rsidRDefault="006F3DD8" w:rsidP="00BB7D9B">
            <w:pPr>
              <w:numPr>
                <w:ilvl w:val="0"/>
                <w:numId w:val="12"/>
              </w:numPr>
              <w:spacing w:before="100" w:beforeAutospacing="1" w:after="100" w:afterAutospacing="1"/>
            </w:pPr>
            <w:proofErr w:type="spellStart"/>
            <w:r>
              <w:rPr>
                <w:rFonts w:ascii="Arial" w:hAnsi="Arial" w:cs="Arial"/>
                <w:b/>
                <w:bCs/>
                <w:sz w:val="20"/>
                <w:szCs w:val="20"/>
              </w:rPr>
              <w:t>Faceshield</w:t>
            </w:r>
            <w:proofErr w:type="spellEnd"/>
            <w:r>
              <w:t xml:space="preserve"> </w:t>
            </w:r>
          </w:p>
        </w:tc>
      </w:tr>
      <w:tr w:rsidR="006F3DD8" w14:paraId="20FA65F6" w14:textId="77777777" w:rsidTr="00BB7D9B">
        <w:tc>
          <w:tcPr>
            <w:tcW w:w="2800" w:type="pct"/>
            <w:tcBorders>
              <w:top w:val="outset" w:sz="6" w:space="0" w:color="auto"/>
              <w:left w:val="outset" w:sz="6" w:space="0" w:color="auto"/>
              <w:bottom w:val="outset" w:sz="6" w:space="0" w:color="auto"/>
              <w:right w:val="outset" w:sz="6" w:space="0" w:color="auto"/>
            </w:tcBorders>
          </w:tcPr>
          <w:p w14:paraId="4A174D15" w14:textId="77777777" w:rsidR="006F3DD8" w:rsidRDefault="006F3DD8" w:rsidP="00BB7D9B">
            <w:pPr>
              <w:rPr>
                <w:rFonts w:ascii="Arial" w:hAnsi="Arial" w:cs="Arial"/>
                <w:b/>
                <w:bCs/>
                <w:sz w:val="20"/>
                <w:szCs w:val="20"/>
              </w:rPr>
            </w:pPr>
            <w:r>
              <w:rPr>
                <w:rFonts w:ascii="Arial" w:hAnsi="Arial" w:cs="Arial"/>
                <w:b/>
                <w:bCs/>
                <w:sz w:val="20"/>
                <w:szCs w:val="20"/>
              </w:rPr>
              <w:t>Shipping</w:t>
            </w:r>
          </w:p>
        </w:tc>
        <w:tc>
          <w:tcPr>
            <w:tcW w:w="2150" w:type="pct"/>
            <w:tcBorders>
              <w:top w:val="outset" w:sz="6" w:space="0" w:color="auto"/>
              <w:left w:val="outset" w:sz="6" w:space="0" w:color="auto"/>
              <w:bottom w:val="outset" w:sz="6" w:space="0" w:color="auto"/>
              <w:right w:val="outset" w:sz="6" w:space="0" w:color="auto"/>
            </w:tcBorders>
          </w:tcPr>
          <w:p w14:paraId="7AF4F9BD" w14:textId="77777777" w:rsidR="006F3DD8" w:rsidRDefault="006F3DD8" w:rsidP="00BB7D9B">
            <w:pPr>
              <w:numPr>
                <w:ilvl w:val="0"/>
                <w:numId w:val="12"/>
              </w:numPr>
              <w:spacing w:before="100" w:beforeAutospacing="1" w:after="100" w:afterAutospacing="1"/>
              <w:rPr>
                <w:rFonts w:ascii="Arial" w:hAnsi="Arial" w:cs="Arial"/>
                <w:b/>
                <w:bCs/>
                <w:sz w:val="20"/>
                <w:szCs w:val="20"/>
              </w:rPr>
            </w:pPr>
            <w:r>
              <w:rPr>
                <w:rFonts w:ascii="Arial" w:hAnsi="Arial" w:cs="Arial"/>
                <w:b/>
                <w:bCs/>
                <w:sz w:val="20"/>
                <w:szCs w:val="20"/>
              </w:rPr>
              <w:t>Hard Hat</w:t>
            </w:r>
          </w:p>
          <w:p w14:paraId="231DC312" w14:textId="77777777" w:rsidR="006F3DD8" w:rsidRDefault="006F3DD8" w:rsidP="00BB7D9B">
            <w:pPr>
              <w:numPr>
                <w:ilvl w:val="0"/>
                <w:numId w:val="12"/>
              </w:numPr>
              <w:spacing w:before="100" w:beforeAutospacing="1" w:after="100" w:afterAutospacing="1"/>
              <w:rPr>
                <w:rFonts w:ascii="Arial" w:hAnsi="Arial" w:cs="Arial"/>
                <w:b/>
                <w:bCs/>
                <w:sz w:val="20"/>
                <w:szCs w:val="20"/>
              </w:rPr>
            </w:pPr>
            <w:r>
              <w:rPr>
                <w:rFonts w:ascii="Arial" w:hAnsi="Arial" w:cs="Arial"/>
                <w:b/>
                <w:bCs/>
                <w:sz w:val="20"/>
                <w:szCs w:val="20"/>
              </w:rPr>
              <w:t>Metatarsal Boots</w:t>
            </w:r>
          </w:p>
          <w:p w14:paraId="47D1434F" w14:textId="77777777" w:rsidR="006F3DD8" w:rsidRDefault="006F3DD8" w:rsidP="00BB7D9B">
            <w:pPr>
              <w:numPr>
                <w:ilvl w:val="0"/>
                <w:numId w:val="12"/>
              </w:numPr>
              <w:spacing w:before="100" w:beforeAutospacing="1" w:after="100" w:afterAutospacing="1"/>
              <w:rPr>
                <w:rFonts w:ascii="Arial" w:hAnsi="Arial" w:cs="Arial"/>
                <w:b/>
                <w:bCs/>
                <w:sz w:val="20"/>
                <w:szCs w:val="20"/>
              </w:rPr>
            </w:pPr>
            <w:r>
              <w:rPr>
                <w:rFonts w:ascii="Arial" w:hAnsi="Arial" w:cs="Arial"/>
                <w:b/>
                <w:bCs/>
                <w:sz w:val="20"/>
                <w:szCs w:val="20"/>
              </w:rPr>
              <w:t xml:space="preserve">Safety Glasses </w:t>
            </w:r>
          </w:p>
          <w:p w14:paraId="42100943" w14:textId="77777777" w:rsidR="006F3DD8" w:rsidRDefault="006F3DD8" w:rsidP="00BB7D9B">
            <w:pPr>
              <w:numPr>
                <w:ilvl w:val="0"/>
                <w:numId w:val="12"/>
              </w:numPr>
              <w:spacing w:before="100" w:beforeAutospacing="1" w:after="100" w:afterAutospacing="1"/>
              <w:rPr>
                <w:rFonts w:ascii="Arial" w:hAnsi="Arial" w:cs="Arial"/>
                <w:b/>
                <w:bCs/>
                <w:sz w:val="20"/>
                <w:szCs w:val="20"/>
              </w:rPr>
            </w:pPr>
            <w:r>
              <w:rPr>
                <w:rFonts w:ascii="Arial" w:hAnsi="Arial" w:cs="Arial"/>
                <w:b/>
                <w:bCs/>
                <w:sz w:val="20"/>
                <w:szCs w:val="20"/>
              </w:rPr>
              <w:t>Hearing Protection</w:t>
            </w:r>
          </w:p>
          <w:p w14:paraId="7C4027D4" w14:textId="77777777" w:rsidR="006F3DD8" w:rsidRDefault="006F3DD8" w:rsidP="00BB7D9B">
            <w:pPr>
              <w:numPr>
                <w:ilvl w:val="0"/>
                <w:numId w:val="12"/>
              </w:numPr>
              <w:spacing w:before="100" w:beforeAutospacing="1" w:after="100" w:afterAutospacing="1"/>
              <w:rPr>
                <w:rFonts w:ascii="Arial" w:hAnsi="Arial" w:cs="Arial"/>
                <w:b/>
                <w:bCs/>
                <w:sz w:val="20"/>
                <w:szCs w:val="20"/>
              </w:rPr>
            </w:pPr>
            <w:r>
              <w:rPr>
                <w:rFonts w:ascii="Arial" w:hAnsi="Arial" w:cs="Arial"/>
                <w:b/>
                <w:bCs/>
                <w:sz w:val="20"/>
                <w:szCs w:val="20"/>
              </w:rPr>
              <w:t>Long Sleeves and Pants</w:t>
            </w:r>
          </w:p>
          <w:p w14:paraId="4444DDB6" w14:textId="77777777" w:rsidR="006F3DD8" w:rsidRDefault="006F3DD8" w:rsidP="00BB7D9B">
            <w:pPr>
              <w:spacing w:before="100" w:beforeAutospacing="1" w:after="100" w:afterAutospacing="1"/>
              <w:ind w:left="720"/>
              <w:rPr>
                <w:rFonts w:ascii="Arial" w:hAnsi="Arial" w:cs="Arial"/>
                <w:b/>
                <w:bCs/>
                <w:sz w:val="20"/>
                <w:szCs w:val="20"/>
              </w:rPr>
            </w:pPr>
          </w:p>
        </w:tc>
      </w:tr>
    </w:tbl>
    <w:p w14:paraId="57E8D641" w14:textId="77777777" w:rsidR="00426CD2" w:rsidRDefault="00426CD2" w:rsidP="001F449C"/>
    <w:sectPr w:rsidR="00426CD2" w:rsidSect="009C7802">
      <w:headerReference w:type="default" r:id="rId7"/>
      <w:footerReference w:type="default" r:id="rId8"/>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B92E1" w14:textId="77777777" w:rsidR="0060033C" w:rsidRDefault="0060033C">
      <w:r>
        <w:separator/>
      </w:r>
    </w:p>
  </w:endnote>
  <w:endnote w:type="continuationSeparator" w:id="0">
    <w:p w14:paraId="3C5CC5DA" w14:textId="77777777" w:rsidR="0060033C" w:rsidRDefault="00600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AA9F6" w14:textId="77777777" w:rsidR="0027156A" w:rsidRDefault="0027156A">
    <w:pPr>
      <w:pStyle w:val="Footer"/>
      <w:jc w:val="right"/>
    </w:pPr>
    <w:r>
      <w:fldChar w:fldCharType="begin"/>
    </w:r>
    <w:r>
      <w:instrText xml:space="preserve"> PAGE   \* MERGEFORMAT </w:instrText>
    </w:r>
    <w:r>
      <w:fldChar w:fldCharType="separate"/>
    </w:r>
    <w:r w:rsidR="00D467E9">
      <w:rPr>
        <w:noProof/>
      </w:rPr>
      <w:t>1</w:t>
    </w:r>
    <w:r>
      <w:rPr>
        <w:noProof/>
      </w:rPr>
      <w:fldChar w:fldCharType="end"/>
    </w:r>
  </w:p>
  <w:p w14:paraId="0CE71D42" w14:textId="77777777" w:rsidR="0027156A" w:rsidRDefault="004B70D6" w:rsidP="0027156A">
    <w:pPr>
      <w:pStyle w:val="NormalWeb"/>
      <w:spacing w:before="0" w:beforeAutospacing="0" w:after="0" w:afterAutospacing="0"/>
      <w:jc w:val="center"/>
      <w:rPr>
        <w:rFonts w:ascii="Arial" w:hAnsi="Arial" w:cs="Arial"/>
        <w:b/>
        <w:bCs/>
        <w:i/>
        <w:iCs/>
        <w:color w:val="008000"/>
        <w:sz w:val="20"/>
        <w:szCs w:val="20"/>
      </w:rPr>
    </w:pPr>
    <w:r>
      <w:rPr>
        <w:rFonts w:ascii="Bradley Hand ITC" w:hAnsi="Bradley Hand ITC" w:cs="Arial"/>
        <w:b/>
        <w:bCs/>
        <w:color w:val="008000"/>
        <w:sz w:val="27"/>
        <w:szCs w:val="27"/>
      </w:rPr>
      <w:t xml:space="preserve">Safety is our Number 1 </w:t>
    </w:r>
    <w:r w:rsidR="00EB1F2A">
      <w:rPr>
        <w:rFonts w:ascii="Bradley Hand ITC" w:hAnsi="Bradley Hand ITC" w:cs="Arial"/>
        <w:b/>
        <w:bCs/>
        <w:color w:val="008000"/>
        <w:sz w:val="27"/>
        <w:szCs w:val="27"/>
      </w:rPr>
      <w:t>Value</w:t>
    </w:r>
  </w:p>
  <w:p w14:paraId="195A2D1E" w14:textId="77777777" w:rsidR="0027156A" w:rsidRDefault="0027156A" w:rsidP="0027156A">
    <w:pPr>
      <w:pStyle w:val="NormalWeb"/>
      <w:spacing w:before="75" w:beforeAutospacing="0" w:after="0" w:afterAutospacing="0"/>
      <w:jc w:val="center"/>
      <w:rPr>
        <w:rFonts w:ascii="Arial" w:hAnsi="Arial" w:cs="Arial"/>
      </w:rPr>
    </w:pPr>
    <w:r>
      <w:rPr>
        <w:rFonts w:ascii="Arial" w:hAnsi="Arial" w:cs="Arial"/>
        <w:b/>
        <w:bCs/>
        <w:i/>
        <w:iCs/>
        <w:color w:val="008000"/>
        <w:sz w:val="20"/>
        <w:szCs w:val="20"/>
      </w:rPr>
      <w:t>Not controlled if printed.</w:t>
    </w:r>
  </w:p>
  <w:p w14:paraId="4C849077" w14:textId="77777777" w:rsidR="00572745" w:rsidRDefault="00572745" w:rsidP="00572745">
    <w:pPr>
      <w:pStyle w:val="Header"/>
    </w:pPr>
    <w:r>
      <w:rPr>
        <w:color w:val="538135"/>
      </w:rPr>
      <w:tab/>
    </w:r>
    <w:r w:rsidRPr="00A85A4E">
      <w:rPr>
        <w:color w:val="538135"/>
      </w:rPr>
      <w:t>#</w:t>
    </w:r>
    <w:r>
      <w:rPr>
        <w:color w:val="538135"/>
      </w:rPr>
      <w:t xml:space="preserve">  </w:t>
    </w:r>
    <w:fldSimple w:instr=" DOCPROPERTY  ETQ$NUMBER  \* MERGEFORMAT ">
      <w:r>
        <w:t>1358</w:t>
      </w:r>
    </w:fldSimple>
  </w:p>
  <w:p w14:paraId="33819DF5" w14:textId="77777777" w:rsidR="00C868F6" w:rsidRPr="0027156A" w:rsidRDefault="00C868F6" w:rsidP="00271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1E981" w14:textId="77777777" w:rsidR="0060033C" w:rsidRDefault="0060033C">
      <w:r>
        <w:separator/>
      </w:r>
    </w:p>
  </w:footnote>
  <w:footnote w:type="continuationSeparator" w:id="0">
    <w:p w14:paraId="7BCA798B" w14:textId="77777777" w:rsidR="0060033C" w:rsidRDefault="00600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3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56"/>
      <w:gridCol w:w="1198"/>
      <w:gridCol w:w="5228"/>
    </w:tblGrid>
    <w:tr w:rsidR="00A7622D" w14:paraId="33F40182" w14:textId="77777777" w:rsidTr="009C7802">
      <w:trPr>
        <w:trHeight w:val="260"/>
      </w:trPr>
      <w:tc>
        <w:tcPr>
          <w:tcW w:w="3387" w:type="dxa"/>
          <w:vMerge w:val="restart"/>
          <w:shd w:val="clear" w:color="auto" w:fill="auto"/>
        </w:tcPr>
        <w:p w14:paraId="4C5DBD1C" w14:textId="02B948DC" w:rsidR="00A7622D" w:rsidRDefault="00572745" w:rsidP="00A7622D">
          <w:pPr>
            <w:pStyle w:val="Header"/>
          </w:pPr>
          <w:r>
            <w:rPr>
              <w:rFonts w:ascii="Verdana" w:hAnsi="Verdana"/>
              <w:noProof/>
              <w:color w:val="2C8E00"/>
              <w:sz w:val="16"/>
              <w:szCs w:val="16"/>
            </w:rPr>
            <w:drawing>
              <wp:inline distT="0" distB="0" distL="0" distR="0" wp14:anchorId="4F74E258" wp14:editId="548B6547">
                <wp:extent cx="1514475" cy="295275"/>
                <wp:effectExtent l="0" t="0" r="0" b="0"/>
                <wp:docPr id="1" name="Picture 1" descr="Pictur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4475" cy="295275"/>
                        </a:xfrm>
                        <a:prstGeom prst="rect">
                          <a:avLst/>
                        </a:prstGeom>
                        <a:noFill/>
                        <a:ln>
                          <a:noFill/>
                        </a:ln>
                      </pic:spPr>
                    </pic:pic>
                  </a:graphicData>
                </a:graphic>
              </wp:inline>
            </w:drawing>
          </w:r>
        </w:p>
      </w:tc>
      <w:tc>
        <w:tcPr>
          <w:tcW w:w="1203" w:type="dxa"/>
          <w:shd w:val="clear" w:color="auto" w:fill="auto"/>
        </w:tcPr>
        <w:p w14:paraId="432CADF8" w14:textId="77777777" w:rsidR="00A7622D" w:rsidRDefault="00CF11D6" w:rsidP="00A7622D">
          <w:pPr>
            <w:pStyle w:val="Header"/>
          </w:pPr>
          <w:proofErr w:type="gramStart"/>
          <w:r>
            <w:t>Ti</w:t>
          </w:r>
          <w:r w:rsidR="00A7622D">
            <w:t>tle :</w:t>
          </w:r>
          <w:proofErr w:type="gramEnd"/>
        </w:p>
      </w:tc>
      <w:tc>
        <w:tcPr>
          <w:tcW w:w="5418" w:type="dxa"/>
          <w:shd w:val="clear" w:color="auto" w:fill="auto"/>
        </w:tcPr>
        <w:p w14:paraId="241AD1EC" w14:textId="5C74CDD9" w:rsidR="00A7622D" w:rsidRDefault="009C7802" w:rsidP="00A7622D">
          <w:pPr>
            <w:pStyle w:val="Header"/>
          </w:pPr>
          <w:fldSimple w:instr=" DOCPROPERTY  DOCWORK_TITLE  \* MERGEFORMAT ">
            <w:r>
              <w:t>Mill PPE List</w:t>
            </w:r>
          </w:fldSimple>
        </w:p>
      </w:tc>
    </w:tr>
    <w:tr w:rsidR="00A7622D" w14:paraId="4B339705" w14:textId="77777777" w:rsidTr="009C7802">
      <w:tc>
        <w:tcPr>
          <w:tcW w:w="3387" w:type="dxa"/>
          <w:vMerge/>
          <w:shd w:val="clear" w:color="auto" w:fill="auto"/>
        </w:tcPr>
        <w:p w14:paraId="32EAA99A" w14:textId="77777777" w:rsidR="00A7622D" w:rsidRDefault="00A7622D" w:rsidP="00A7622D">
          <w:pPr>
            <w:pStyle w:val="Header"/>
          </w:pPr>
        </w:p>
      </w:tc>
      <w:tc>
        <w:tcPr>
          <w:tcW w:w="1203" w:type="dxa"/>
          <w:shd w:val="clear" w:color="auto" w:fill="auto"/>
        </w:tcPr>
        <w:p w14:paraId="6F793675" w14:textId="77777777" w:rsidR="00A7622D" w:rsidRDefault="00A7622D" w:rsidP="00A7622D">
          <w:pPr>
            <w:pStyle w:val="Header"/>
          </w:pPr>
          <w:proofErr w:type="gramStart"/>
          <w:r>
            <w:t>Revision :</w:t>
          </w:r>
          <w:proofErr w:type="gramEnd"/>
        </w:p>
      </w:tc>
      <w:tc>
        <w:tcPr>
          <w:tcW w:w="5418" w:type="dxa"/>
          <w:shd w:val="clear" w:color="auto" w:fill="auto"/>
        </w:tcPr>
        <w:p w14:paraId="182B2B94" w14:textId="4DF04976" w:rsidR="00A7622D" w:rsidRDefault="009C7802" w:rsidP="00A7622D">
          <w:pPr>
            <w:pStyle w:val="Header"/>
          </w:pPr>
          <w:fldSimple w:instr=" DOCPROPERTY  ETQ$REVISION  \* MERGEFORMAT ">
            <w:r>
              <w:t>4</w:t>
            </w:r>
          </w:fldSimple>
        </w:p>
      </w:tc>
    </w:tr>
  </w:tbl>
  <w:p w14:paraId="153574E2" w14:textId="77777777" w:rsidR="0061658A" w:rsidRPr="00A7622D" w:rsidRDefault="0061658A" w:rsidP="00A762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93283"/>
    <w:multiLevelType w:val="multilevel"/>
    <w:tmpl w:val="F114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E52"/>
    <w:multiLevelType w:val="multilevel"/>
    <w:tmpl w:val="ACA8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34042"/>
    <w:multiLevelType w:val="multilevel"/>
    <w:tmpl w:val="EE9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911C9"/>
    <w:multiLevelType w:val="multilevel"/>
    <w:tmpl w:val="F82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75FD4"/>
    <w:multiLevelType w:val="multilevel"/>
    <w:tmpl w:val="1BCE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F4934"/>
    <w:multiLevelType w:val="multilevel"/>
    <w:tmpl w:val="0D1EA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132EA"/>
    <w:multiLevelType w:val="multilevel"/>
    <w:tmpl w:val="CE6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B3F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66923AA4"/>
    <w:multiLevelType w:val="multilevel"/>
    <w:tmpl w:val="D440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01B6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5800465"/>
    <w:multiLevelType w:val="multilevel"/>
    <w:tmpl w:val="E59A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C0EA2"/>
    <w:multiLevelType w:val="hybridMultilevel"/>
    <w:tmpl w:val="06DA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418916">
    <w:abstractNumId w:val="9"/>
  </w:num>
  <w:num w:numId="2" w16cid:durableId="1047534602">
    <w:abstractNumId w:val="7"/>
  </w:num>
  <w:num w:numId="3" w16cid:durableId="558907086">
    <w:abstractNumId w:val="1"/>
  </w:num>
  <w:num w:numId="4" w16cid:durableId="264583847">
    <w:abstractNumId w:val="10"/>
  </w:num>
  <w:num w:numId="5" w16cid:durableId="636493076">
    <w:abstractNumId w:val="0"/>
  </w:num>
  <w:num w:numId="6" w16cid:durableId="392000110">
    <w:abstractNumId w:val="5"/>
  </w:num>
  <w:num w:numId="7" w16cid:durableId="536939030">
    <w:abstractNumId w:val="3"/>
  </w:num>
  <w:num w:numId="8" w16cid:durableId="1577471308">
    <w:abstractNumId w:val="4"/>
  </w:num>
  <w:num w:numId="9" w16cid:durableId="1018044643">
    <w:abstractNumId w:val="11"/>
  </w:num>
  <w:num w:numId="10" w16cid:durableId="264962598">
    <w:abstractNumId w:val="2"/>
  </w:num>
  <w:num w:numId="11" w16cid:durableId="543756420">
    <w:abstractNumId w:val="8"/>
  </w:num>
  <w:num w:numId="12" w16cid:durableId="1185363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8A"/>
    <w:rsid w:val="00037AEB"/>
    <w:rsid w:val="000622EA"/>
    <w:rsid w:val="000A47EC"/>
    <w:rsid w:val="000C7FBE"/>
    <w:rsid w:val="00123645"/>
    <w:rsid w:val="0013577D"/>
    <w:rsid w:val="0014028F"/>
    <w:rsid w:val="00172A5A"/>
    <w:rsid w:val="001B6A2F"/>
    <w:rsid w:val="001F449C"/>
    <w:rsid w:val="0020373E"/>
    <w:rsid w:val="0027156A"/>
    <w:rsid w:val="002910AB"/>
    <w:rsid w:val="00291630"/>
    <w:rsid w:val="002A1D15"/>
    <w:rsid w:val="003D179C"/>
    <w:rsid w:val="00406664"/>
    <w:rsid w:val="00426CD2"/>
    <w:rsid w:val="00441431"/>
    <w:rsid w:val="00442D36"/>
    <w:rsid w:val="004533E7"/>
    <w:rsid w:val="0048724B"/>
    <w:rsid w:val="004B30D9"/>
    <w:rsid w:val="004B70D6"/>
    <w:rsid w:val="004D3CB0"/>
    <w:rsid w:val="005605F8"/>
    <w:rsid w:val="00572745"/>
    <w:rsid w:val="0060033C"/>
    <w:rsid w:val="0061658A"/>
    <w:rsid w:val="006419D6"/>
    <w:rsid w:val="006A0B7F"/>
    <w:rsid w:val="006C6A4E"/>
    <w:rsid w:val="006F3DD8"/>
    <w:rsid w:val="00774B2A"/>
    <w:rsid w:val="00793697"/>
    <w:rsid w:val="007C50FB"/>
    <w:rsid w:val="00827F05"/>
    <w:rsid w:val="0088071E"/>
    <w:rsid w:val="0091709A"/>
    <w:rsid w:val="0092520C"/>
    <w:rsid w:val="009542E5"/>
    <w:rsid w:val="00965C60"/>
    <w:rsid w:val="00977292"/>
    <w:rsid w:val="009C7802"/>
    <w:rsid w:val="009D1117"/>
    <w:rsid w:val="009F7EF5"/>
    <w:rsid w:val="00A11CB2"/>
    <w:rsid w:val="00A1504E"/>
    <w:rsid w:val="00A448FA"/>
    <w:rsid w:val="00A7622D"/>
    <w:rsid w:val="00A765C3"/>
    <w:rsid w:val="00AB1BE1"/>
    <w:rsid w:val="00B47722"/>
    <w:rsid w:val="00BD4808"/>
    <w:rsid w:val="00C054FA"/>
    <w:rsid w:val="00C2111C"/>
    <w:rsid w:val="00C868F6"/>
    <w:rsid w:val="00CA6738"/>
    <w:rsid w:val="00CC780B"/>
    <w:rsid w:val="00CE0222"/>
    <w:rsid w:val="00CF11D6"/>
    <w:rsid w:val="00D467E9"/>
    <w:rsid w:val="00D74BD7"/>
    <w:rsid w:val="00DF1E84"/>
    <w:rsid w:val="00E03AD5"/>
    <w:rsid w:val="00E57077"/>
    <w:rsid w:val="00E962C9"/>
    <w:rsid w:val="00EB1F2A"/>
    <w:rsid w:val="00ED349A"/>
    <w:rsid w:val="00EE56BA"/>
    <w:rsid w:val="00EE7D8F"/>
    <w:rsid w:val="00F04513"/>
    <w:rsid w:val="00F31301"/>
    <w:rsid w:val="00F6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7DE988"/>
  <w15:chartTrackingRefBased/>
  <w15:docId w15:val="{8E4EBD8F-25BD-49CC-B6C5-4A4A04C1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Roman" w:hAnsi="Times Roman"/>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28"/>
      <w:sz w:val="28"/>
      <w:szCs w:val="28"/>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rPr>
  </w:style>
  <w:style w:type="paragraph" w:styleId="Heading3">
    <w:name w:val="heading 3"/>
    <w:basedOn w:val="Normal"/>
    <w:next w:val="Normal"/>
    <w:qFormat/>
    <w:pPr>
      <w:keepNext/>
      <w:numPr>
        <w:ilvl w:val="2"/>
        <w:numId w:val="1"/>
      </w:numPr>
      <w:spacing w:before="240" w:after="60"/>
      <w:outlineLvl w:val="2"/>
    </w:pPr>
    <w:rPr>
      <w:rFonts w:ascii="Arial" w:hAnsi="Arial" w:cs="Arial"/>
    </w:rPr>
  </w:style>
  <w:style w:type="paragraph" w:styleId="Heading4">
    <w:name w:val="heading 4"/>
    <w:basedOn w:val="Normal"/>
    <w:next w:val="Normal"/>
    <w:qFormat/>
    <w:pPr>
      <w:keepNext/>
      <w:numPr>
        <w:ilvl w:val="3"/>
        <w:numId w:val="1"/>
      </w:numPr>
      <w:spacing w:before="240" w:after="60"/>
      <w:outlineLvl w:val="3"/>
    </w:pPr>
    <w:rPr>
      <w:rFonts w:ascii="Arial" w:hAnsi="Arial" w:cs="Arial"/>
      <w:b/>
      <w:bCs/>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rFonts w:ascii="Times New Roman" w:hAnsi="Times New Roman"/>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CompanyName">
    <w:name w:val="Company Name"/>
    <w:basedOn w:val="Normal"/>
    <w:pPr>
      <w:keepNext/>
      <w:keepLines/>
      <w:framePr w:w="4080" w:h="840" w:hSpace="180" w:wrap="notBeside" w:vAnchor="page" w:hAnchor="margin" w:y="913" w:anchorLock="1"/>
      <w:spacing w:line="220" w:lineRule="atLeast"/>
    </w:pPr>
    <w:rPr>
      <w:rFonts w:ascii="Arial Black" w:hAnsi="Arial Black"/>
      <w:spacing w:val="-25"/>
      <w:kern w:val="28"/>
      <w:sz w:val="32"/>
      <w:szCs w:val="32"/>
    </w:rPr>
  </w:style>
  <w:style w:type="paragraph" w:customStyle="1" w:styleId="EndnoteText1">
    <w:name w:val="Endnote Text1"/>
    <w:basedOn w:val="Normal"/>
  </w:style>
  <w:style w:type="table" w:styleId="TableGrid">
    <w:name w:val="Table Grid"/>
    <w:basedOn w:val="TableNormal"/>
    <w:rsid w:val="009542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Accent5">
    <w:name w:val="Light List Accent 5"/>
    <w:basedOn w:val="TableNormal"/>
    <w:uiPriority w:val="61"/>
    <w:rsid w:val="0012364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12364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tyle1">
    <w:name w:val="Style1"/>
    <w:basedOn w:val="TableNormal"/>
    <w:rsid w:val="00123645"/>
    <w:tblPr>
      <w:tblBorders>
        <w:top w:val="single" w:sz="4" w:space="0" w:color="auto"/>
        <w:bottom w:val="single" w:sz="4" w:space="0" w:color="auto"/>
      </w:tblBorders>
    </w:tblPr>
    <w:tblStylePr w:type="firstRow">
      <w:rPr>
        <w:color w:val="auto"/>
      </w:rPr>
      <w:tblPr/>
      <w:tcPr>
        <w:shd w:val="clear" w:color="auto" w:fill="4F81BD"/>
      </w:tcPr>
    </w:tblStylePr>
    <w:tblStylePr w:type="lastRow">
      <w:rPr>
        <w:color w:val="auto"/>
      </w:rPr>
    </w:tblStylePr>
  </w:style>
  <w:style w:type="paragraph" w:styleId="NormalWeb">
    <w:name w:val="Normal (Web)"/>
    <w:basedOn w:val="Normal"/>
    <w:uiPriority w:val="99"/>
    <w:unhideWhenUsed/>
    <w:rsid w:val="001F449C"/>
    <w:pPr>
      <w:spacing w:before="100" w:beforeAutospacing="1" w:after="100" w:afterAutospacing="1"/>
    </w:pPr>
    <w:rPr>
      <w:rFonts w:ascii="Times New Roman" w:hAnsi="Times New Roman"/>
      <w:color w:val="000000"/>
    </w:rPr>
  </w:style>
  <w:style w:type="character" w:customStyle="1" w:styleId="FooterChar">
    <w:name w:val="Footer Char"/>
    <w:link w:val="Footer"/>
    <w:uiPriority w:val="99"/>
    <w:rsid w:val="0027156A"/>
    <w:rPr>
      <w:rFonts w:ascii="Times Roman" w:hAnsi="Times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iki.nucornet.com/sites/nucordigitalwarehouse/Logo1%20Image%20Gallery/Forms/AllItems.aspx?RootFolder=/sites/nucordigitalwarehouse/Logo1%20Image%20Gallery/01%20Nucor%20Logos/02%20Steelmaking%20Division%20Logos/Nucor%20Steel%20Hertford/Legal/Black%20and%20Green&amp;View=%7b38CEF7B1-0F7D-4E5D-B257-70076B304169%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CharactersWithSpaces>
  <SharedDoc>false</SharedDoc>
  <HLinks>
    <vt:vector size="12" baseType="variant">
      <vt:variant>
        <vt:i4>6815785</vt:i4>
      </vt:variant>
      <vt:variant>
        <vt:i4>0</vt:i4>
      </vt:variant>
      <vt:variant>
        <vt:i4>0</vt:i4>
      </vt:variant>
      <vt:variant>
        <vt:i4>5</vt:i4>
      </vt:variant>
      <vt:variant>
        <vt:lpwstr>https://wiki.nucornet.com/sites/nucordigitalwarehouse/Logo1 Image Gallery/Forms/AllItems.aspx?RootFolder=/sites/nucordigitalwarehouse/Logo1 Image Gallery/01 Nucor Logos/02 Steelmaking Division Logos/Nucor Steel Hertford/Legal/Black and Green&amp;View={38CEF7B1-0F7D-4E5D-B257-70076B304169}</vt:lpwstr>
      </vt:variant>
      <vt:variant>
        <vt:lpwstr/>
      </vt:variant>
      <vt:variant>
        <vt:i4>6815785</vt:i4>
      </vt:variant>
      <vt:variant>
        <vt:i4>2365</vt:i4>
      </vt:variant>
      <vt:variant>
        <vt:i4>1025</vt:i4>
      </vt:variant>
      <vt:variant>
        <vt:i4>4</vt:i4>
      </vt:variant>
      <vt:variant>
        <vt:lpwstr>https://wiki.nucornet.com/sites/nucordigitalwarehouse/Logo1 Image Gallery/Forms/AllItems.aspx?RootFolder=/sites/nucordigitalwarehouse/Logo1 Image Gallery/01 Nucor Logos/02 Steelmaking Division Logos/Nucor Steel Hertford/Legal/Black and Green&amp;View={38CEF7B1-0F7D-4E5D-B257-70076B304169}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Vashishth Purohit</dc:creator>
  <cp:keywords/>
  <cp:lastModifiedBy>Lynch, Brandi (NSHC)</cp:lastModifiedBy>
  <cp:revision>2</cp:revision>
  <dcterms:created xsi:type="dcterms:W3CDTF">2024-10-30T17:19:00Z</dcterms:created>
  <dcterms:modified xsi:type="dcterms:W3CDTF">2024-10-30T17:19:00Z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Q$APPROVERS">
    <vt:lpwstr>SMS_APPROVERS; Rolling/Finishing Supervisor Day</vt:lpwstr>
  </property>
  <property fmtid="{D5CDD505-2E9C-101B-9397-08002B2CF9AE}" pid="3" name="ETQ$NUMBER">
    <vt:lpwstr>1358</vt:lpwstr>
  </property>
  <property fmtid="{D5CDD505-2E9C-101B-9397-08002B2CF9AE}" pid="4" name="ETQ$REVISION">
    <vt:lpwstr>4</vt:lpwstr>
  </property>
  <property fmtid="{D5CDD505-2E9C-101B-9397-08002B2CF9AE}" pid="5" name="ETQ$EFFECTIVE_DATE">
    <vt:lpwstr>Jul 15, 2024</vt:lpwstr>
  </property>
  <property fmtid="{D5CDD505-2E9C-101B-9397-08002B2CF9AE}" pid="6" name="DOCWORK_TITLE">
    <vt:lpwstr>Mill PPE List</vt:lpwstr>
  </property>
  <property fmtid="{D5CDD505-2E9C-101B-9397-08002B2CF9AE}" pid="7" name="ETQ$CURRENT_WORKFLOW">
    <vt:lpwstr>Data Reference</vt:lpwstr>
  </property>
  <property fmtid="{D5CDD505-2E9C-101B-9397-08002B2CF9AE}" pid="8" name="ETQ$CURRENT_PHASE">
    <vt:lpwstr>Published</vt:lpwstr>
  </property>
  <property fmtid="{D5CDD505-2E9C-101B-9397-08002B2CF9AE}" pid="9" name="ETQ$APPROVALS">
    <vt:lpwstr>      </vt:lpwstr>
  </property>
  <property fmtid="{D5CDD505-2E9C-101B-9397-08002B2CF9AE}" pid="10" name="ASSOCIATED_DOCUMENTS_TITLES_D">
    <vt:lpwstr>(1) Title : Melting and Casting PPE Rev : 5 (2) Title : Personal Protective Equipment Rev : 6</vt:lpwstr>
  </property>
  <property fmtid="{D5CDD505-2E9C-101B-9397-08002B2CF9AE}" pid="11" name="OI$ORIGINAL_DOC_ID">
    <vt:lpwstr>2011</vt:lpwstr>
  </property>
  <property fmtid="{D5CDD505-2E9C-101B-9397-08002B2CF9AE}" pid="12" name="OI$DOCKEY">
    <vt:lpwstr>ETQ$APPLICATION_NAME=DOCWORK&amp;ETQ$FORM_NAME=DOCWORK_DOCUMENT&amp;ETQ$KEY_NAME=DOCWORK_ID&amp;ETQ$KEY_VALUE=7268</vt:lpwstr>
  </property>
</Properties>
</file>