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color w:val="2980B9"/>
          <w:sz w:val="40"/>
          <w:szCs w:val="40"/>
        </w:rPr>
        <w:t xml:space="preserve">Matriz RBAC — MVP (permisos × pantalla × API)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Versión: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1.0
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Convenciones: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✓ = permitido, — = denegado, ○ = solo propias / unidad / asignadas según nota.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Roles: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Solicitante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(Sol),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CoordinadorArea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(Crd),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AnalistaTIC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(Ana),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Aprobador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(Apr),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Implementador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(Imp),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Admin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(Adm),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Auditor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(Aud).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980B9"/>
          <w:sz w:val="36"/>
          <w:szCs w:val="36"/>
        </w:rPr>
        <w:t xml:space="preserve">1. Pantallas (Angular)</w:t>
      </w:r>
    </w:p>
    <w:tbl>
      <w:tblPr>
        <w:tblW w:type="dxa" w:w="92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Pantalla / flujo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Sol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Crd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Ana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Apr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Imp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Adm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Aud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Login / selección rol activo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Bandeja “Mis solicitudes”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 propias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 unidad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 cola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 pendientes aprobación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 asignadas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 todas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 todas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Bandeja “Pendientes” por rol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 si aplica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Alta / edición Borrador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Detalle solicitud (ver)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Detalle: acciones de transición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según estado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según regla opcional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limitado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Comentarios (público al solicitante)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 crear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Comentarios internos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 ver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Adjuntos: subir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 en Borrador/Enviada si reglas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Adjuntos: descargar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Administración: usuarios / roles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Administración: catálogos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47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Reportes / exportar listados</w:t>
            </w:r>
          </w:p>
        </w:tc>
        <w:tc>
          <w:tcPr>
            <w:tcW w:type="dxa" w:w="138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 propias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 unidad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 filtros rol</w:t>
            </w:r>
          </w:p>
        </w:tc>
        <w:tc>
          <w:tcPr>
            <w:tcW w:type="dxa" w:w="120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3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29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</w:tr>
    </w:tbl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Notas: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CoordinadorArea: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opcional; si la institución no lo usa, el rol no se asigna. Sus permisos “unidad” requieren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UnitId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en el perfil.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Auditor: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solo lectura y exportación; sin transiciones ni comentarios que alteren flujo (puede tener comentario de solo lectura deshabilitado en UI).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980B9"/>
          <w:sz w:val="36"/>
          <w:szCs w:val="36"/>
        </w:rPr>
        <w:t xml:space="preserve">2. API REST (recursos y operaciones)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Convención de rutas base: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/api/v1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. Los nombres exactos pueden ajustarse al estilo del equipo; la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matriz de autorización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es la fuente de verdad.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2.1 Solicitudes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/requests</w:t>
      </w: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)</w:t>
      </w:r>
    </w:p>
    <w:tbl>
      <w:tblPr>
        <w:tblW w:type="dxa" w:w="91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3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Operación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HTTP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Sol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Crd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Ana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Apr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Imp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Adm</w:t>
            </w:r>
          </w:p>
        </w:tc>
        <w:tc>
          <w:tcPr>
            <w:tcW w:type="dxa" w:w="147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Aud</w:t>
            </w:r>
          </w:p>
        </w:tc>
      </w:tr>
      <w:tr>
        <w:tc>
          <w:tcPr>
            <w:tcW w:type="dxa" w:w="183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Listar (filtrado)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GET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47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183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Obtener por id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GET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47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183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Crear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POST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47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83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Actualizar Borrador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PATCH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47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83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Enviar (transición)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POST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47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83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Cancelar (transición)</w:t>
            </w:r>
          </w:p>
        </w:tc>
        <w:tc>
          <w:tcPr>
            <w:tcW w:type="dxa" w:w="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POST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8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47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120" w:before="0"/>
        <w:jc w:val="left"/>
      </w:pP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○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= solo si la solicitud pertenece al usuario/unidad y el estado lo permite.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2.2 Transiciones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/requests/{id}/transitions</w:t>
      </w: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)</w:t>
      </w:r>
    </w:p>
    <w:tbl>
      <w:tblPr>
        <w:tblW w:type="dxa" w:w="92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8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Operación</w:t>
            </w:r>
          </w:p>
        </w:tc>
        <w:tc>
          <w:tcPr>
            <w:tcW w:type="dxa" w:w="102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HTTP</w:t>
            </w:r>
          </w:p>
        </w:tc>
        <w:tc>
          <w:tcPr>
            <w:tcW w:type="dxa" w:w="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Ana</w:t>
            </w:r>
          </w:p>
        </w:tc>
        <w:tc>
          <w:tcPr>
            <w:tcW w:type="dxa" w:w="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Apr</w:t>
            </w:r>
          </w:p>
        </w:tc>
        <w:tc>
          <w:tcPr>
            <w:tcW w:type="dxa" w:w="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Imp</w:t>
            </w:r>
          </w:p>
        </w:tc>
        <w:tc>
          <w:tcPr>
            <w:tcW w:type="dxa" w:w="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Sol</w:t>
            </w:r>
          </w:p>
        </w:tc>
        <w:tc>
          <w:tcPr>
            <w:tcW w:type="dxa" w:w="17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Adm</w:t>
            </w:r>
          </w:p>
        </w:tc>
      </w:tr>
      <w:tr>
        <w:tc>
          <w:tcPr>
            <w:tcW w:type="dxa" w:w="278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Ejecutar transición válida</w:t>
            </w:r>
          </w:p>
        </w:tc>
        <w:tc>
          <w:tcPr>
            <w:tcW w:type="dxa" w:w="102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POST</w:t>
            </w:r>
          </w:p>
        </w:tc>
        <w:tc>
          <w:tcPr>
            <w:tcW w:type="dxa" w:w="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76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 limitado</w:t>
            </w:r>
          </w:p>
        </w:tc>
      </w:tr>
    </w:tbl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La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aplicación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valida: rol + estado actual +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03-estados-y-contrato-api.md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. El API devuelve 403 si la política no aplica.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2.3 Adjuntos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/requests/{id}/attachments</w:t>
      </w: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)</w:t>
      </w:r>
    </w:p>
    <w:tbl>
      <w:tblPr>
        <w:tblW w:type="dxa" w:w="92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Operación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HTTP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Sol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Ana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Apr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Imp</w:t>
            </w:r>
          </w:p>
        </w:tc>
        <w:tc>
          <w:tcPr>
            <w:tcW w:type="dxa" w:w="16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Adm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Aud</w:t>
            </w:r>
          </w:p>
        </w:tc>
      </w:tr>
      <w:tr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Subir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POST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6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Listar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GET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6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Descargar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GET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6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Eliminar / anular</w:t>
            </w:r>
          </w:p>
        </w:tc>
        <w:tc>
          <w:tcPr>
            <w:tcW w:type="dxa" w:w="11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DELETE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16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 con auditoría</w:t>
            </w:r>
          </w:p>
        </w:tc>
        <w:tc>
          <w:tcPr>
            <w:tcW w:type="dxa" w:w="101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MVP recomendado: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no DELETE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para solicitante; solo anulación lógica por Admin con auditoría.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2.4 Comentarios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/requests/{id}/comments</w:t>
      </w: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)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4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Operación</w:t>
            </w:r>
          </w:p>
        </w:tc>
        <w:tc>
          <w:tcPr>
            <w:tcW w:type="dxa" w:w="12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HTTP</w:t>
            </w:r>
          </w:p>
        </w:tc>
        <w:tc>
          <w:tcPr>
            <w:tcW w:type="dxa" w:w="25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Sol</w:t>
            </w:r>
          </w:p>
        </w:tc>
        <w:tc>
          <w:tcPr>
            <w:tcW w:type="dxa" w:w="321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Internos</w:t>
            </w:r>
          </w:p>
        </w:tc>
      </w:tr>
      <w:tr>
        <w:tc>
          <w:tcPr>
            <w:tcW w:type="dxa" w:w="24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Crear público</w:t>
            </w:r>
          </w:p>
        </w:tc>
        <w:tc>
          <w:tcPr>
            <w:tcW w:type="dxa" w:w="12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POST</w:t>
            </w:r>
          </w:p>
        </w:tc>
        <w:tc>
          <w:tcPr>
            <w:tcW w:type="dxa" w:w="25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321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Ana, Apr, Imp, Crd</w:t>
            </w:r>
          </w:p>
        </w:tc>
      </w:tr>
      <w:tr>
        <w:tc>
          <w:tcPr>
            <w:tcW w:type="dxa" w:w="24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Crear interno</w:t>
            </w:r>
          </w:p>
        </w:tc>
        <w:tc>
          <w:tcPr>
            <w:tcW w:type="dxa" w:w="12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POST</w:t>
            </w:r>
          </w:p>
        </w:tc>
        <w:tc>
          <w:tcPr>
            <w:tcW w:type="dxa" w:w="25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—</w:t>
            </w:r>
          </w:p>
        </w:tc>
        <w:tc>
          <w:tcPr>
            <w:tcW w:type="dxa" w:w="321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Ana, Apr, Imp, Adm</w:t>
            </w:r>
          </w:p>
        </w:tc>
      </w:tr>
      <w:tr>
        <w:tc>
          <w:tcPr>
            <w:tcW w:type="dxa" w:w="24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Listar</w:t>
            </w:r>
          </w:p>
        </w:tc>
        <w:tc>
          <w:tcPr>
            <w:tcW w:type="dxa" w:w="12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GET</w:t>
            </w:r>
          </w:p>
        </w:tc>
        <w:tc>
          <w:tcPr>
            <w:tcW w:type="dxa" w:w="25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 sin internos</w:t>
            </w:r>
          </w:p>
        </w:tc>
        <w:tc>
          <w:tcPr>
            <w:tcW w:type="dxa" w:w="321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 todos según rol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2.5 Catálogos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/catalogs/</w:t>
      </w: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*)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4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Operación</w:t>
            </w:r>
          </w:p>
        </w:tc>
        <w:tc>
          <w:tcPr>
            <w:tcW w:type="dxa" w:w="12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HTTP</w:t>
            </w:r>
          </w:p>
        </w:tc>
        <w:tc>
          <w:tcPr>
            <w:tcW w:type="dxa" w:w="113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Adm</w:t>
            </w:r>
          </w:p>
        </w:tc>
        <w:tc>
          <w:tcPr>
            <w:tcW w:type="dxa" w:w="462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Otros</w:t>
            </w:r>
          </w:p>
        </w:tc>
      </w:tr>
      <w:tr>
        <w:tc>
          <w:tcPr>
            <w:tcW w:type="dxa" w:w="245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CRUD maestros</w:t>
            </w:r>
          </w:p>
        </w:tc>
        <w:tc>
          <w:tcPr>
            <w:tcW w:type="dxa" w:w="122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*</w:t>
            </w:r>
          </w:p>
        </w:tc>
        <w:tc>
          <w:tcPr>
            <w:tcW w:type="dxa" w:w="113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462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GET lectura para formularios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2.6 Reportes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/reports/</w:t>
      </w: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*)</w:t>
      </w:r>
    </w:p>
    <w:tbl>
      <w:tblPr>
        <w:tblW w:type="dxa" w:w="92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Operación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HTTP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Adm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Ana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Apr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Imp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Aud</w:t>
            </w:r>
          </w:p>
        </w:tc>
        <w:tc>
          <w:tcPr>
            <w:tcW w:type="dxa" w:w="19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Sol</w:t>
            </w:r>
          </w:p>
        </w:tc>
      </w:tr>
      <w:tr>
        <w:tc>
          <w:tcPr>
            <w:tcW w:type="dxa" w:w="17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Export CSV/Excel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GET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92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✓</w:t>
            </w:r>
          </w:p>
        </w:tc>
        <w:tc>
          <w:tcPr>
            <w:tcW w:type="dxa" w:w="19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○ propias/unidad</w:t>
            </w:r>
          </w:p>
        </w:tc>
      </w:tr>
    </w:tbl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980B9"/>
          <w:sz w:val="36"/>
          <w:szCs w:val="36"/>
        </w:rPr>
        <w:t xml:space="preserve">3. Políticas transversales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Separación de funciones: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el mismo usuario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no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debe ser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Aprobador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e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Implementador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de la misma solicitud en modo estricto (configurable; por defecto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bloquear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en dominio).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Menor privilegio: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JWT/claims cargan roles; el servidor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no confía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en el cliente para ocultar campos sensibles (filtrar comentarios internos en API).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Auditoría: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toda transición y cambio crítico genera evento según 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05-auditoria-esquema.md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.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980B9"/>
          <w:sz w:val="36"/>
          <w:szCs w:val="36"/>
        </w:rPr>
        <w:t xml:space="preserve">4. Mapeo rápido a políticas .NET (referencia)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</w:tblGrid>
      <w:tr>
        <w:tc>
          <w:tcPr>
            <w:tcW w:type="dxa" w:w="2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Política sugerida</w:t>
            </w:r>
          </w:p>
        </w:tc>
        <w:tc>
          <w:tcPr>
            <w:tcW w:type="dxa" w:w="668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Roles</w:t>
            </w:r>
          </w:p>
        </w:tc>
      </w:tr>
      <w:tr>
        <w:tc>
          <w:tcPr>
            <w:tcW w:type="dxa" w:w="2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CanManageCatalogs</w:t>
            </w:r>
          </w:p>
        </w:tc>
        <w:tc>
          <w:tcPr>
            <w:tcW w:type="dxa" w:w="668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type="dxa" w:w="2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CanTransitionAnalyst</w:t>
            </w:r>
          </w:p>
        </w:tc>
        <w:tc>
          <w:tcPr>
            <w:tcW w:type="dxa" w:w="668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AnalistaTIC</w:t>
            </w:r>
          </w:p>
        </w:tc>
      </w:tr>
      <w:tr>
        <w:tc>
          <w:tcPr>
            <w:tcW w:type="dxa" w:w="2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CanTransitionApprover</w:t>
            </w:r>
          </w:p>
        </w:tc>
        <w:tc>
          <w:tcPr>
            <w:tcW w:type="dxa" w:w="668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Aprobador</w:t>
            </w:r>
          </w:p>
        </w:tc>
      </w:tr>
      <w:tr>
        <w:tc>
          <w:tcPr>
            <w:tcW w:type="dxa" w:w="2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CanTransitionImplementer</w:t>
            </w:r>
          </w:p>
        </w:tc>
        <w:tc>
          <w:tcPr>
            <w:tcW w:type="dxa" w:w="668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Implementador</w:t>
            </w:r>
          </w:p>
        </w:tc>
      </w:tr>
      <w:tr>
        <w:tc>
          <w:tcPr>
            <w:tcW w:type="dxa" w:w="2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CanReadAllRequests</w:t>
            </w:r>
          </w:p>
        </w:tc>
        <w:tc>
          <w:tcPr>
            <w:tcW w:type="dxa" w:w="668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Admin, Auditor, AnalistaTIC (ajustar si Ana solo ve cola)</w:t>
            </w:r>
          </w:p>
        </w:tc>
      </w:tr>
      <w:tr>
        <w:tc>
          <w:tcPr>
            <w:tcW w:type="dxa" w:w="2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JetBrains Mono" w:cs="JetBrains Mono" w:eastAsia="JetBrains Mono" w:hAnsi="JetBrains Mono"/>
                <w:sz w:val="20"/>
                <w:szCs w:val="20"/>
                <w:shd w:fill="E5E7EB"/>
              </w:rPr>
              <w:t xml:space="preserve">CanExportReports</w:t>
            </w:r>
          </w:p>
        </w:tc>
        <w:tc>
          <w:tcPr>
            <w:tcW w:type="dxa" w:w="668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2C3E50"/>
                <w:sz w:val="24"/>
                <w:szCs w:val="24"/>
              </w:rPr>
              <w:t xml:space="preserve">Admin, Auditor, AnalistaTIC, Aprobador, Implementador (+ alcance datos)</w:t>
            </w:r>
          </w:p>
        </w:tc>
      </w:tr>
    </w:tbl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Afinar en implementación con </w:t>
      </w: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handlers</w:t>
      </w:r>
      <w:r>
        <w:rPr>
          <w:rFonts w:ascii="Times New Roman" w:cs="Times New Roman" w:eastAsia="Times New Roman" w:hAnsi="Times New Roman"/>
          <w:color w:val="2C3E50"/>
          <w:sz w:val="24"/>
          <w:szCs w:val="24"/>
        </w:rPr>
        <w:t xml:space="preserve"> por recurso si “ver todo” difiere entre Ana y Adm.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88"/>
    </w:pPr>
    <w:rPr>
      <w:rFonts w:ascii="Times New Roman" w:cs="Times New Roman" w:eastAsia="Times New Roman" w:hAnsi="Times New Roman"/>
      <w:color w:val="2C3E50"/>
      <w:sz w:val="24"/>
      <w:szCs w:val="24"/>
    </w:rPr>
  </w:style>
  <w:style w:type="paragraph" w:styleId="Heading1">
    <w:name w:val="Heading 1"/>
    <w:basedOn w:val="Normal"/>
    <w:next w:val="Normal"/>
    <w:pPr>
      <w:spacing w:after="240" w:before="480"/>
    </w:pPr>
    <w:rPr>
      <w:rFonts w:ascii="Times New Roman" w:cs="Times New Roman" w:eastAsia="Times New Roman" w:hAnsi="Times New Roman"/>
      <w:b/>
      <w:bCs/>
      <w:color w:val="2980B9"/>
      <w:sz w:val="40"/>
      <w:szCs w:val="40"/>
    </w:rPr>
  </w:style>
  <w:style w:type="paragraph" w:styleId="Heading2">
    <w:name w:val="Heading 2"/>
    <w:basedOn w:val="Normal"/>
    <w:next w:val="Normal"/>
    <w:pPr>
      <w:spacing w:after="180" w:before="360"/>
    </w:pPr>
    <w:rPr>
      <w:rFonts w:ascii="Times New Roman" w:cs="Times New Roman" w:eastAsia="Times New Roman" w:hAnsi="Times New Roman"/>
      <w:b/>
      <w:bCs/>
      <w:color w:val="2980B9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2980B9"/>
      <w:sz w:val="32"/>
      <w:szCs w:val="32"/>
    </w:rPr>
  </w:style>
  <w:style w:type="paragraph" w:styleId="Heading4">
    <w:name w:val="Heading 4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2980B9"/>
      <w:sz w:val="28"/>
      <w:szCs w:val="28"/>
    </w:rPr>
  </w:style>
  <w:style w:type="paragraph" w:styleId="Heading5">
    <w:name w:val="Heading 5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2980B9"/>
      <w:sz w:val="24"/>
      <w:szCs w:val="24"/>
    </w:rPr>
  </w:style>
  <w:style w:type="paragraph" w:styleId="Heading6">
    <w:name w:val="Heading 6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2980B9"/>
      <w:sz w:val="24"/>
      <w:szCs w:val="24"/>
    </w:rPr>
  </w:style>
  <w:style w:type="paragraph" w:styleId="ListParagraph">
    <w:name w:val="List Paragraph"/>
    <w:basedOn w:val="Normal"/>
    <w:next w:val="ListParagraph"/>
    <w:pPr>
      <w:spacing w:line="288"/>
      <w:ind w:left="720"/>
    </w:pPr>
    <w:rPr>
      <w:rFonts w:ascii="Times New Roman" w:cs="Times New Roman" w:eastAsia="Times New Roman" w:hAnsi="Times New Roman"/>
      <w:color w:val="2C3E50"/>
      <w:sz w:val="24"/>
      <w:szCs w:val="24"/>
    </w:rPr>
  </w:style>
  <w:style w:type="paragraph" w:styleId="BlockMath">
    <w:name w:val="Block Math"/>
    <w:basedOn w:val="Normal"/>
    <w:next w:val="Normal"/>
    <w:pPr>
      <w:spacing w:line="360" w:after="300" w:before="300"/>
      <w:jc w:val="center"/>
    </w:pPr>
    <w:rPr>
      <w:rFonts w:ascii="Cambria Math" w:cs="Cambria Math" w:eastAsia="Cambria Math" w:hAnsi="Cambria Math"/>
      <w:color w:val="2C3E50"/>
      <w:sz w:val="24"/>
      <w:szCs w:val="24"/>
    </w:rPr>
  </w:style>
  <w:style w:type="paragraph" w:styleId="InlineMath">
    <w:name w:val="Inline Math"/>
    <w:basedOn w:val="Normal"/>
    <w:next w:val="Normal"/>
    <w:rPr>
      <w:rFonts w:ascii="Cambria Math" w:cs="Cambria Math" w:eastAsia="Cambria Math" w:hAnsi="Cambria Math"/>
      <w:color w:val="2C3E5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2026-04-15T05:32:52.366Z</dcterms:created>
  <dcterms:modified xsi:type="dcterms:W3CDTF">2026-04-15T05:32:52.366Z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