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color w:val="2980B9"/>
          <w:sz w:val="40"/>
          <w:szCs w:val="40"/>
        </w:rPr>
        <w:t xml:space="preserve">Alcance MVP congelado — Solicitudes Tecnológicas Gubernamentales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Versión: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1.0
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Estado: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Congelado para implementación del MVP
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Propósito: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Fijar decisiones explícitas sobre qué entra y qué no en la primera versión operable, evitando ambigüedad entre negocio, Angular, .NET y SQL Server.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980B9"/>
          <w:sz w:val="36"/>
          <w:szCs w:val="36"/>
        </w:rPr>
        <w:t xml:space="preserve">1. Resumen ejecutivo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El MVP no es “lo mínimo programable”, sino el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conjunto mínimo que permite operar el proceso real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con trazabilidad, roles y control. Este documento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congela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inclusiones, exclusiones y supuestos que deben validarse con stakeholders (ajustes posteriores = cambio de alcance versionado).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980B9"/>
          <w:sz w:val="36"/>
          <w:szCs w:val="36"/>
        </w:rPr>
        <w:t xml:space="preserve">2. Decisiones congeladas (MVP)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2.1 Ámbito de usuarios: interno institucional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</w:tblGrid>
      <w:tr>
        <w:tc>
          <w:tcPr>
            <w:tcW w:type="dxa" w:w="2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Decisión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Valor MVP</w:t>
            </w:r>
          </w:p>
        </w:tc>
      </w:tr>
      <w:tr>
        <w:tc>
          <w:tcPr>
            <w:tcW w:type="dxa" w:w="2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Usuarios principales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Personal de la institución (funcionarios/contratistas con cuenta institucional).</w:t>
            </w:r>
          </w:p>
        </w:tc>
      </w:tr>
      <w:tr>
        <w:tc>
          <w:tcPr>
            <w:tcW w:type="dxa" w:w="2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Portal ciudadano / externo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Fuera de alcance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 en MVP. Si en el futuro se requiere, se define como módulo o sistema acoplado por API (fase 2).</w:t>
            </w:r>
          </w:p>
        </w:tc>
      </w:tr>
      <w:tr>
        <w:tc>
          <w:tcPr>
            <w:tcW w:type="dxa" w:w="2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Justificación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Reduce riesgo legal, autenticación y soporte; permite entregar trazabilidad y aprobaciones internas primero.</w:t>
            </w:r>
          </w:p>
        </w:tc>
      </w:tr>
    </w:tbl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Validación con stakeholders: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confirmar que ningún trámite ciudadano es obligatorio en el plazo del MVP.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2.2 Notificaciones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</w:tblGrid>
      <w:tr>
        <w:tc>
          <w:tcPr>
            <w:tcW w:type="dxa" w:w="162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Decisión</w:t>
            </w:r>
          </w:p>
        </w:tc>
        <w:tc>
          <w:tcPr>
            <w:tcW w:type="dxa" w:w="792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Valor MVP</w:t>
            </w:r>
          </w:p>
        </w:tc>
      </w:tr>
      <w:tr>
        <w:tc>
          <w:tcPr>
            <w:tcW w:type="dxa" w:w="162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Obligatorio</w:t>
            </w:r>
          </w:p>
        </w:tc>
        <w:tc>
          <w:tcPr>
            <w:tcW w:type="dxa" w:w="792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Bandeja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in-app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: “Mis pendientes”, “Actividad reciente”, contadores por rol.</w:t>
            </w:r>
          </w:p>
        </w:tc>
      </w:tr>
      <w:tr>
        <w:tc>
          <w:tcPr>
            <w:tcW w:type="dxa" w:w="162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Correo electrónico</w:t>
            </w:r>
          </w:p>
        </w:tc>
        <w:tc>
          <w:tcPr>
            <w:tcW w:type="dxa" w:w="792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Opcional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 en MVP: si existe SMTP institucional, se envían notificaciones en eventos clave (envío, devolución, aprobación, asignación, cierre). Si no hay SMTP, solo in-app.</w:t>
            </w:r>
          </w:p>
        </w:tc>
      </w:tr>
      <w:tr>
        <w:tc>
          <w:tcPr>
            <w:tcW w:type="dxa" w:w="162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SMS / push móvil</w:t>
            </w:r>
          </w:p>
        </w:tc>
        <w:tc>
          <w:tcPr>
            <w:tcW w:type="dxa" w:w="792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Fuera de alcance.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2.3 Adjuntos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</w:tblGrid>
      <w:tr>
        <w:tc>
          <w:tcPr>
            <w:tcW w:type="dxa" w:w="20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Decisión</w:t>
            </w:r>
          </w:p>
        </w:tc>
        <w:tc>
          <w:tcPr>
            <w:tcW w:type="dxa" w:w="75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Valor MVP</w:t>
            </w:r>
          </w:p>
        </w:tc>
      </w:tr>
      <w:tr>
        <w:tc>
          <w:tcPr>
            <w:tcW w:type="dxa" w:w="20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Almacenamiento</w:t>
            </w:r>
          </w:p>
        </w:tc>
        <w:tc>
          <w:tcPr>
            <w:tcW w:type="dxa" w:w="75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Archivos en almacén compatible con .NET (ruta local dev / blob o file share en producción);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metadatos en SQL Server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dxa" w:w="20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Límites</w:t>
            </w:r>
          </w:p>
        </w:tc>
        <w:tc>
          <w:tcPr>
            <w:tcW w:type="dxa" w:w="75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Tamaño máximo por archivo: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10 MB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 (ajustable por parámetro de sistema). Máximo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10 archivos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 por solicitud en MVP.</w:t>
            </w:r>
          </w:p>
        </w:tc>
      </w:tr>
      <w:tr>
        <w:tc>
          <w:tcPr>
            <w:tcW w:type="dxa" w:w="20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Tipos permitidos</w:t>
            </w:r>
          </w:p>
        </w:tc>
        <w:tc>
          <w:tcPr>
            <w:tcW w:type="dxa" w:w="75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Lista blanca: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pdf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png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jpg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jpeg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docx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xlsx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csv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zip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 (sin ejecutables).</w:t>
            </w:r>
          </w:p>
        </w:tc>
      </w:tr>
      <w:tr>
        <w:tc>
          <w:tcPr>
            <w:tcW w:type="dxa" w:w="20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Antivirus</w:t>
            </w:r>
          </w:p>
        </w:tc>
        <w:tc>
          <w:tcPr>
            <w:tcW w:type="dxa" w:w="75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Deseable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 post-MVP o si hay servicio institucional; MVP: validación de extensión + MIME + tamaño.</w:t>
            </w:r>
          </w:p>
        </w:tc>
      </w:tr>
      <w:tr>
        <w:tc>
          <w:tcPr>
            <w:tcW w:type="dxa" w:w="20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Versionado de archivos</w:t>
            </w:r>
          </w:p>
        </w:tc>
        <w:tc>
          <w:tcPr>
            <w:tcW w:type="dxa" w:w="75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MVP: un adjunto = una versión; reemplazo genera nuevo registro vinculado o nuevo adjunto (definir en modelo; no sobrescribir sin historial).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2.4 Comentarios y visibilidad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</w:tblGrid>
      <w:tr>
        <w:tc>
          <w:tcPr>
            <w:tcW w:type="dxa" w:w="22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Decisión</w:t>
            </w:r>
          </w:p>
        </w:tc>
        <w:tc>
          <w:tcPr>
            <w:tcW w:type="dxa" w:w="725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Valor MVP</w:t>
            </w:r>
          </w:p>
        </w:tc>
      </w:tr>
      <w:tr>
        <w:tc>
          <w:tcPr>
            <w:tcW w:type="dxa" w:w="22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Comentarios</w:t>
            </w:r>
          </w:p>
        </w:tc>
        <w:tc>
          <w:tcPr>
            <w:tcW w:type="dxa" w:w="725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Por solicitud, con autor, fecha y texto.</w:t>
            </w:r>
          </w:p>
        </w:tc>
      </w:tr>
      <w:tr>
        <w:tc>
          <w:tcPr>
            <w:tcW w:type="dxa" w:w="22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Notas internas</w:t>
            </w:r>
          </w:p>
        </w:tc>
        <w:tc>
          <w:tcPr>
            <w:tcW w:type="dxa" w:w="725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Comentarios marcados como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internos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 visibles solo para roles TIC, Aprobador, Admin, Auditor (no visibles al Solicitante).</w:t>
            </w:r>
          </w:p>
        </w:tc>
      </w:tr>
      <w:tr>
        <w:tc>
          <w:tcPr>
            <w:tcW w:type="dxa" w:w="22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Comentarios al solicitante</w:t>
            </w:r>
          </w:p>
        </w:tc>
        <w:tc>
          <w:tcPr>
            <w:tcW w:type="dxa" w:w="725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Visibles para el solicitante (sin marca interna).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2.5 Identidad y seguridad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</w:tblGrid>
      <w:tr>
        <w:tc>
          <w:tcPr>
            <w:tcW w:type="dxa" w:w="20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Decisión</w:t>
            </w:r>
          </w:p>
        </w:tc>
        <w:tc>
          <w:tcPr>
            <w:tcW w:type="dxa" w:w="75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Valor MVP</w:t>
            </w:r>
          </w:p>
        </w:tc>
      </w:tr>
      <w:tr>
        <w:tc>
          <w:tcPr>
            <w:tcW w:type="dxa" w:w="20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Autenticación</w:t>
            </w:r>
          </w:p>
        </w:tc>
        <w:tc>
          <w:tcPr>
            <w:tcW w:type="dxa" w:w="75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Integración con proveedor institucional si existe (</w:t>
            </w: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Azure AD / AD / OIDC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); si no, cuenta local con política de contraseña mínima (definir en despliegue).</w:t>
            </w:r>
          </w:p>
        </w:tc>
      </w:tr>
      <w:tr>
        <w:tc>
          <w:tcPr>
            <w:tcW w:type="dxa" w:w="20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Autorización</w:t>
            </w:r>
          </w:p>
        </w:tc>
        <w:tc>
          <w:tcPr>
            <w:tcW w:type="dxa" w:w="75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RBAC en aplicación; permisos alineados con 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02-matriz-rbac.md</w:t>
            </w: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dxa" w:w="20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2C3E50"/>
                <w:sz w:val="24"/>
                <w:szCs w:val="24"/>
              </w:rPr>
              <w:t xml:space="preserve">Firma electrónica avanzada</w:t>
            </w:r>
          </w:p>
        </w:tc>
        <w:tc>
          <w:tcPr>
            <w:tcW w:type="dxa" w:w="75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Fuera de alcance; decisión registrada en auditoría con usuario/rol/fecha/IP.</w:t>
            </w:r>
          </w:p>
        </w:tc>
      </w:tr>
    </w:tbl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980B9"/>
          <w:sz w:val="36"/>
          <w:szCs w:val="36"/>
        </w:rPr>
        <w:t xml:space="preserve">3. Incluye / excluye (tabla única)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Incluye (v1)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Ciclo de vida completo: crear → análisis → aprobación → ejecución → validación → cierre.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Estados y transiciones según contrato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03-estados-y-contrato-api.md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Catálogos maestros mínimos (tipos, prioridad, unidad organizativa).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Adjuntos con reglas de la sección 2.3.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Auditoría según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05-auditoria-esquema.md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Reportes exportables (CSV/Excel) desde listados filtrados.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Excluye (post-MVP)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Integración en tiempo real con ERP/presupuesto.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Motor BPM gráfico editable por usuario de negocio.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Portal ciudadano, firma avanzada, SLA con escalamiento multi-nivel complejo.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Reapertura de solicitudes cerradas (nueva solicitud vinculada en fase 2).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980B9"/>
          <w:sz w:val="36"/>
          <w:szCs w:val="36"/>
        </w:rPr>
        <w:t xml:space="preserve">4. Criterio de aceptación del MVP (negocio)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Una solicitud puede recorrer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todo el flujo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sin pasos manuales fuera del sistema (excepto carga de datos maestros por Admin).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Cada cambio de estado deja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registro auditable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y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motivo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donde las reglas lo exigen.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Los roles solo ven y hacen lo definido en la matriz RBAC.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980B9"/>
          <w:sz w:val="36"/>
          <w:szCs w:val="36"/>
        </w:rPr>
        <w:t xml:space="preserve">5. Registro de cambios posteriores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</w:tblGrid>
      <w:tr>
        <w:tc>
          <w:tcPr>
            <w:tcW w:type="dxa" w:w="22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Fecha</w:t>
            </w:r>
          </w:p>
        </w:tc>
        <w:tc>
          <w:tcPr>
            <w:tcW w:type="dxa" w:w="25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Cambio</w:t>
            </w:r>
          </w:p>
        </w:tc>
        <w:tc>
          <w:tcPr>
            <w:tcW w:type="dxa" w:w="46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Aprobado por</w:t>
            </w:r>
          </w:p>
        </w:tc>
      </w:tr>
      <w:tr>
        <w:tc>
          <w:tcPr>
            <w:tcW w:type="dxa" w:w="22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25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46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</w:p>
        </w:tc>
      </w:tr>
    </w:tbl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Cualquier cambio a este documento debe incrementar la versión y anotarse aquí.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88"/>
    </w:pPr>
    <w:rPr>
      <w:rFonts w:ascii="Times New Roman" w:cs="Times New Roman" w:eastAsia="Times New Roman" w:hAnsi="Times New Roman"/>
      <w:color w:val="2C3E50"/>
      <w:sz w:val="24"/>
      <w:szCs w:val="24"/>
    </w:rPr>
  </w:style>
  <w:style w:type="paragraph" w:styleId="Heading1">
    <w:name w:val="Heading 1"/>
    <w:basedOn w:val="Normal"/>
    <w:next w:val="Normal"/>
    <w:pPr>
      <w:spacing w:after="240" w:before="480"/>
    </w:pPr>
    <w:rPr>
      <w:rFonts w:ascii="Times New Roman" w:cs="Times New Roman" w:eastAsia="Times New Roman" w:hAnsi="Times New Roman"/>
      <w:b/>
      <w:bCs/>
      <w:color w:val="2980B9"/>
      <w:sz w:val="40"/>
      <w:szCs w:val="40"/>
    </w:rPr>
  </w:style>
  <w:style w:type="paragraph" w:styleId="Heading2">
    <w:name w:val="Heading 2"/>
    <w:basedOn w:val="Normal"/>
    <w:next w:val="Normal"/>
    <w:pPr>
      <w:spacing w:after="180" w:before="360"/>
    </w:pPr>
    <w:rPr>
      <w:rFonts w:ascii="Times New Roman" w:cs="Times New Roman" w:eastAsia="Times New Roman" w:hAnsi="Times New Roman"/>
      <w:b/>
      <w:bCs/>
      <w:color w:val="2980B9"/>
      <w:sz w:val="36"/>
      <w:szCs w:val="36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2980B9"/>
      <w:sz w:val="32"/>
      <w:szCs w:val="32"/>
    </w:rPr>
  </w:style>
  <w:style w:type="paragraph" w:styleId="Heading4">
    <w:name w:val="Heading 4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2980B9"/>
      <w:sz w:val="28"/>
      <w:szCs w:val="28"/>
    </w:rPr>
  </w:style>
  <w:style w:type="paragraph" w:styleId="Heading5">
    <w:name w:val="Heading 5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2980B9"/>
      <w:sz w:val="24"/>
      <w:szCs w:val="24"/>
    </w:rPr>
  </w:style>
  <w:style w:type="paragraph" w:styleId="Heading6">
    <w:name w:val="Heading 6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2980B9"/>
      <w:sz w:val="24"/>
      <w:szCs w:val="24"/>
    </w:rPr>
  </w:style>
  <w:style w:type="paragraph" w:styleId="ListParagraph">
    <w:name w:val="List Paragraph"/>
    <w:basedOn w:val="Normal"/>
    <w:next w:val="ListParagraph"/>
    <w:pPr>
      <w:spacing w:line="288"/>
      <w:ind w:left="720"/>
    </w:pPr>
    <w:rPr>
      <w:rFonts w:ascii="Times New Roman" w:cs="Times New Roman" w:eastAsia="Times New Roman" w:hAnsi="Times New Roman"/>
      <w:color w:val="2C3E50"/>
      <w:sz w:val="24"/>
      <w:szCs w:val="24"/>
    </w:rPr>
  </w:style>
  <w:style w:type="paragraph" w:styleId="BlockMath">
    <w:name w:val="Block Math"/>
    <w:basedOn w:val="Normal"/>
    <w:next w:val="Normal"/>
    <w:pPr>
      <w:spacing w:line="360" w:after="300" w:before="300"/>
      <w:jc w:val="center"/>
    </w:pPr>
    <w:rPr>
      <w:rFonts w:ascii="Cambria Math" w:cs="Cambria Math" w:eastAsia="Cambria Math" w:hAnsi="Cambria Math"/>
      <w:color w:val="2C3E50"/>
      <w:sz w:val="24"/>
      <w:szCs w:val="24"/>
    </w:rPr>
  </w:style>
  <w:style w:type="paragraph" w:styleId="InlineMath">
    <w:name w:val="Inline Math"/>
    <w:basedOn w:val="Normal"/>
    <w:next w:val="Normal"/>
    <w:rPr>
      <w:rFonts w:ascii="Cambria Math" w:cs="Cambria Math" w:eastAsia="Cambria Math" w:hAnsi="Cambria Math"/>
      <w:color w:val="2C3E5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2026-04-15T05:32:24.056Z</dcterms:created>
  <dcterms:modified xsi:type="dcterms:W3CDTF">2026-04-15T05:32:24.056Z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