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A1A1A"/>
          <w:sz w:val="32"/>
        </w:rPr>
        <w:t>RATEQUIP | PHASE 2 TECHNICAL RE-AUDIT RESULT</w:t>
      </w:r>
    </w:p>
    <w:p>
      <w:pPr>
        <w:spacing w:after="240"/>
      </w:pPr>
      <w:r>
        <w:rPr>
          <w:rFonts w:ascii="Calibri" w:hAnsi="Calibri"/>
          <w:b/>
          <w:color w:val="1B5E20"/>
          <w:sz w:val="26"/>
        </w:rPr>
        <w:t>PASSED — Technical acceptance gates complete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To: </w:t>
      </w:r>
      <w:r>
        <w:rPr>
          <w:rFonts w:ascii="Calibri" w:hAnsi="Calibri"/>
          <w:b w:val="0"/>
          <w:sz w:val="20"/>
        </w:rPr>
        <w:t>Robin Lionstone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From: </w:t>
      </w:r>
      <w:r>
        <w:rPr>
          <w:rFonts w:ascii="Calibri" w:hAnsi="Calibri"/>
          <w:b w:val="0"/>
          <w:sz w:val="20"/>
        </w:rPr>
        <w:t>Touy Smith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Date: </w:t>
      </w:r>
      <w:r>
        <w:rPr>
          <w:rFonts w:ascii="Calibri" w:hAnsi="Calibri"/>
          <w:b w:val="0"/>
          <w:sz w:val="20"/>
        </w:rPr>
        <w:t>1 August 2026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Invoice / Milestone: </w:t>
      </w:r>
      <w:r>
        <w:rPr>
          <w:rFonts w:ascii="Calibri" w:hAnsi="Calibri"/>
          <w:b w:val="0"/>
          <w:sz w:val="20"/>
        </w:rPr>
        <w:t>2026-010 · Phase 2 — Milestone 1: MVP Core (THB 20,000)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Audit reference: </w:t>
      </w:r>
      <w:r>
        <w:rPr>
          <w:rFonts w:ascii="Calibri" w:hAnsi="Calibri"/>
          <w:b w:val="0"/>
          <w:sz w:val="20"/>
        </w:rPr>
        <w:t>Developer Discussion Notes V4 — Phase 2 Payment Audit (30 July 2026)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Live deployment: </w:t>
      </w:r>
      <w:r>
        <w:rPr>
          <w:rFonts w:ascii="Calibri" w:hAnsi="Calibri"/>
          <w:b w:val="0"/>
          <w:sz w:val="20"/>
        </w:rPr>
        <w:t>https://ratequip-web.vercel.app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Production commit: </w:t>
      </w:r>
      <w:r>
        <w:rPr>
          <w:rFonts w:ascii="Calibri" w:hAnsi="Calibri"/>
          <w:b w:val="0"/>
          <w:sz w:val="20"/>
        </w:rPr>
        <w:t>910a98b (910a98bda103ee4a9f845e01e9f2ff75f444fa2d)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Evidence refresh commit: </w:t>
      </w:r>
      <w:r>
        <w:rPr>
          <w:rFonts w:ascii="Calibri" w:hAnsi="Calibri"/>
          <w:b w:val="0"/>
          <w:sz w:val="20"/>
        </w:rPr>
        <w:t>325b80f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Release identifier: </w:t>
      </w:r>
      <w:r>
        <w:rPr>
          <w:rFonts w:ascii="Calibri" w:hAnsi="Calibri"/>
          <w:b w:val="0"/>
          <w:sz w:val="20"/>
        </w:rPr>
        <w:t>phase2-mvp-m1-2026-08-01</w:t>
      </w:r>
    </w:p>
    <w:p>
      <w:pPr>
        <w:spacing w:after="40"/>
      </w:pPr>
      <w:r>
        <w:rPr>
          <w:rFonts w:ascii="Calibri" w:hAnsi="Calibri"/>
          <w:b/>
          <w:color w:val="444444"/>
          <w:sz w:val="20"/>
        </w:rPr>
        <w:t xml:space="preserve">Result: </w:t>
      </w:r>
      <w:r>
        <w:rPr>
          <w:rFonts w:ascii="Calibri" w:hAnsi="Calibri"/>
          <w:b w:val="0"/>
          <w:sz w:val="20"/>
        </w:rPr>
        <w:t>TECHNICAL RE-AUDIT PASSED</w:t>
      </w:r>
    </w:p>
    <w:p/>
    <w:p>
      <w:pPr>
        <w:spacing w:after="120"/>
      </w:pPr>
      <w:r>
        <w:rPr>
          <w:rFonts w:ascii="Calibri" w:hAnsi="Calibri"/>
          <w:b/>
          <w:color w:val="1A1A1A"/>
          <w:sz w:val="26"/>
        </w:rPr>
        <w:t>1. Executive decision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Following remediation of every Priority-0 finding in the 30 July 2026 payment-gate audit, the full technical acceptance suite was re-run against the live Neon-backed production deployment on 1 August 2026.</w:t>
      </w:r>
    </w:p>
    <w:p>
      <w:pPr>
        <w:spacing w:after="160"/>
      </w:pPr>
      <w:r>
        <w:rPr>
          <w:rFonts w:ascii="Calibri" w:hAnsi="Calibri"/>
          <w:b w:val="0"/>
          <w:sz w:val="22"/>
        </w:rPr>
        <w:t>Result: the Phase 2 MVP Core technical acceptance gates PASS. All six invoice milestone areas are ready. All nine original P0 blockers are closed on evidence. Automated acceptance checks pass 19/19; Playwright production audit passes 31/31; database migrate/seed/rollback UAT passes 6/6; and the billing credit ledger reconciles on Neon.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This document certifies the technical re-audit outcome for client review. Formal written acceptance and payment release remain at Robin’s authority after independent verification of the live site and attached evidence pack.</w:t>
      </w:r>
    </w:p>
    <w:p>
      <w:pPr>
        <w:spacing w:after="120"/>
      </w:pPr>
      <w:r>
        <w:rPr>
          <w:rFonts w:ascii="Calibri" w:hAnsi="Calibri"/>
          <w:b/>
          <w:color w:val="1A1A1A"/>
          <w:sz w:val="26"/>
        </w:rPr>
        <w:t>2. Scorecard (re-run 1 August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Technical re-audit result</w:t>
            </w:r>
          </w:p>
        </w:tc>
        <w:tc>
          <w:tcPr>
            <w:tcW w:type="dxa" w:w="4824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Milestone areas ready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6 / 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Automated acceptance checks (Neon)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19 / 19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Playwright acceptance audit (production)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31 / 31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 UAT (migrate / seed / rollback)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6 / 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Phase 2 mutation smoke (Neon)</w:t>
            </w:r>
          </w:p>
        </w:tc>
        <w:tc>
          <w:tcPr>
            <w:tcW w:type="dxa" w:w="4824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Original P0 defects closed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9 / 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Production health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ok · demoMode=false · database=true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Production deploy SHA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910a98b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1A1A"/>
          <w:sz w:val="26"/>
        </w:rPr>
        <w:t>3. Milestone matrix vs original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Milestone area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30 Jul 2026 audit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 Aug 2026 re-audit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 architecture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NOT DEMONSTRATED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Accounts / authentication</w:t>
            </w:r>
          </w:p>
        </w:tc>
        <w:tc>
          <w:tcPr>
            <w:tcW w:type="dxa" w:w="3216"/>
            <w:shd w:fill="FFF8E1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PARTIAL / FAIL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PASS*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 profiles and administration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FAIL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Reviews and evidence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NOT DEMONSTRATED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Basic RFQ marketplace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FAIL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Billing / credit framework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NOT DEMONSTRATED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sz w:val="22"/>
        </w:rPr>
        <w:t>*Authentication: registration entry, login, logout, session protection, role resolution, and server-side RBAC negative tests pass. Email verification, password reset, and MFA are Clerk-hosted platform capabilities; entry surfaces are verified on the live site. Full challenge completion can be confirmed in the live UAT session if required.</w:t>
      </w:r>
    </w:p>
    <w:p>
      <w:pPr>
        <w:spacing w:after="120"/>
      </w:pPr>
      <w:r>
        <w:rPr>
          <w:rFonts w:ascii="Calibri" w:hAnsi="Calibri"/>
          <w:b/>
          <w:color w:val="1A1A1A"/>
          <w:sz w:val="26"/>
        </w:rPr>
        <w:t>4. Original P0 blockers — closure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P0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Original finding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P0-01 / P0-02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Add Company “Submission not found”; Continue/Back recovery broken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Claim / admin approval not demonstrated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Reviews only a Write-review link; lifecycle missing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RFQ invalid data accepted; missing dashboard list / edit / award path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Signed-out users saw Close RFQ / Mark awarded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No database migrate / seed / rollback evidence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Billing was a price sheet only; no ledger reconciliation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P0-09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0"/>
              </w:rPr>
              <w:t>Insufficient acceptance evidence pack</w:t>
            </w:r>
          </w:p>
        </w:tc>
        <w:tc>
          <w:tcPr>
            <w:tcW w:type="dxa" w:w="3216"/>
            <w:shd w:fill="E8F5E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1A1A"/>
          <w:sz w:val="26"/>
        </w:rPr>
        <w:t>5. Evidence of live production controls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Protected dashboards redirect unauthenticated users to sign-in.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Unauthenticated billing refund, RFQ status change, AI assist, and procurement APIs return 401.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Public RFQ detail hides Close RFQ / Mark awarded for signed-out visitors.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Neon acceptance counter creates real UUID RFQ, quote, and review rows (not demo-only runtime IDs).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Subscription activation grants credits; RFQ debit (−25), refund, and ledger reconcile balance.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Database UAT: 42 applied migrations, schema present, seed counts verified, temporary change rolled back.</w:t>
      </w:r>
    </w:p>
    <w:p>
      <w:pPr>
        <w:spacing w:after="120"/>
      </w:pPr>
      <w:r>
        <w:rPr>
          <w:rFonts w:ascii="Calibri" w:hAnsi="Calibri"/>
          <w:b/>
          <w:color w:val="1A1A1A"/>
          <w:sz w:val="26"/>
        </w:rPr>
        <w:t>6. How to reproduce the technical gate</w:t>
      </w:r>
    </w:p>
    <w:p>
      <w:pPr>
        <w:spacing w:after="160"/>
      </w:pPr>
      <w:r>
        <w:rPr>
          <w:rFonts w:ascii="Calibri" w:hAnsi="Calibri"/>
          <w:b w:val="0"/>
          <w:sz w:val="22"/>
        </w:rPr>
        <w:t>From the repository root against the production Neon database / live URL:</w:t>
      </w:r>
    </w:p>
    <w:p>
      <w:pPr>
        <w:spacing w:after="40"/>
      </w:pPr>
      <w:r>
        <w:rPr>
          <w:rFonts w:ascii="Menlo" w:hAnsi="Menlo"/>
          <w:b w:val="0"/>
          <w:sz w:val="20"/>
        </w:rPr>
        <w:t>npm run smoke:phase2:acceptance   # 6/6 areas · 19/19 checks</w:t>
      </w:r>
    </w:p>
    <w:p>
      <w:pPr>
        <w:spacing w:after="40"/>
      </w:pPr>
      <w:r>
        <w:rPr>
          <w:rFonts w:ascii="Menlo" w:hAnsi="Menlo"/>
          <w:b w:val="0"/>
          <w:sz w:val="20"/>
        </w:rPr>
        <w:t>npm run smoke:phase2              # Neon mutation smoke</w:t>
      </w:r>
    </w:p>
    <w:p>
      <w:pPr>
        <w:spacing w:after="40"/>
      </w:pPr>
      <w:r>
        <w:rPr>
          <w:rFonts w:ascii="Menlo" w:hAnsi="Menlo"/>
          <w:b w:val="0"/>
          <w:sz w:val="20"/>
        </w:rPr>
        <w:t>npm run uat:db                    # migrate / seed / rollback</w:t>
      </w:r>
    </w:p>
    <w:p>
      <w:pPr>
        <w:spacing w:after="40"/>
      </w:pPr>
      <w:r>
        <w:rPr>
          <w:rFonts w:ascii="Menlo" w:hAnsi="Menlo"/>
          <w:b w:val="0"/>
          <w:sz w:val="20"/>
        </w:rPr>
        <w:t>npx playwright test e2e/acceptance-audit.spec.ts</w:t>
      </w:r>
    </w:p>
    <w:p/>
    <w:p>
      <w:pPr>
        <w:spacing w:after="120"/>
      </w:pPr>
      <w:r>
        <w:rPr>
          <w:rFonts w:ascii="Calibri" w:hAnsi="Calibri"/>
          <w:b/>
          <w:color w:val="1A1A1A"/>
          <w:sz w:val="26"/>
        </w:rPr>
        <w:t>7. Supporting evidence package</w:t>
      </w:r>
    </w:p>
    <w:p>
      <w:pPr>
        <w:spacing w:after="160"/>
      </w:pPr>
      <w:r>
        <w:rPr>
          <w:rFonts w:ascii="Calibri" w:hAnsi="Calibri"/>
          <w:b w:val="0"/>
          <w:sz w:val="22"/>
        </w:rPr>
        <w:t>Attached / available under docs/acceptance-phase2/: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Acceptance-Checklist.md — full requirement matrix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Defect-Closure-Report.pdf — P0-01…P0-09 closure detail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Database-Evidence.pdf · Security-Evidence.pdf · RBAC-Evidence.pdf · Billing-Evidence.pdf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QA-Results.pdf · UAT-Results.pdf · Evidence-Pack.pdf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videos/phase2-acceptance-narrated.mp4 · videos/uat-full-walkthrough.mp4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screenshots/01–40 · playwright-report/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release.json — machine-readable release metadata</w:t>
      </w:r>
    </w:p>
    <w:p>
      <w:pPr>
        <w:spacing w:after="120"/>
      </w:pPr>
      <w:r>
        <w:rPr>
          <w:rFonts w:ascii="Calibri" w:hAnsi="Calibri"/>
          <w:b/>
          <w:color w:val="1A1A1A"/>
          <w:sz w:val="26"/>
        </w:rPr>
        <w:t>8. Requested client action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We request that Robin independently verify the live deployment and evidence pack, then provide written acceptance of Phase 2 Milestone 1 so the THB 20,000 payment can be released under Invoice 2026-010.</w:t>
      </w:r>
    </w:p>
    <w:p>
      <w:pPr>
        <w:spacing w:after="160"/>
      </w:pPr>
      <w:r>
        <w:rPr>
          <w:rFonts w:ascii="Calibri" w:hAnsi="Calibri"/>
          <w:b w:val="0"/>
          <w:sz w:val="22"/>
        </w:rPr>
        <w:t>Suggested verification focus: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Spot-check Add Company, claim/approve, review lifecycle, RFQ create→dashboard→award.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Confirm signed-out mutation controls remain hidden and APIs deny guests.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Confirm billing credits grant/debit/refund and ledger balance on the buyer billing page.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Optionally complete Clerk email verification / password reset / MFA in a live session.</w:t>
      </w:r>
    </w:p>
    <w:p>
      <w:pPr>
        <w:spacing w:after="120"/>
      </w:pPr>
      <w:r>
        <w:rPr>
          <w:rFonts w:ascii="Calibri" w:hAnsi="Calibri"/>
          <w:b/>
          <w:color w:val="1A1A1A"/>
          <w:sz w:val="26"/>
        </w:rPr>
        <w:t>9. Formal statement</w:t>
      </w:r>
    </w:p>
    <w:p>
      <w:pPr>
        <w:spacing w:after="160"/>
      </w:pPr>
      <w:r>
        <w:rPr>
          <w:rFonts w:ascii="Calibri" w:hAnsi="Calibri"/>
          <w:b/>
          <w:sz w:val="22"/>
        </w:rPr>
        <w:t>I certify that, as of 1 August 2026, the RateQuip Phase 2 MVP Core technical acceptance re-audit against the V4 payment-gate criteria has PASSED on the production deployment (https://ratequip-web.vercel.app) at commit 910a98b.</w:t>
      </w:r>
    </w:p>
    <w:p>
      <w:pPr>
        <w:spacing w:before="320"/>
      </w:pPr>
      <w:r>
        <w:rPr>
          <w:rFonts w:ascii="Calibri" w:hAnsi="Calibri"/>
          <w:b w:val="0"/>
          <w:sz w:val="22"/>
        </w:rPr>
        <w:t>Respectfully,</w:t>
      </w:r>
    </w:p>
    <w:p>
      <w:pPr>
        <w:spacing w:before="360"/>
      </w:pPr>
      <w:r>
        <w:rPr>
          <w:rFonts w:ascii="Calibri" w:hAnsi="Calibri"/>
          <w:b/>
          <w:sz w:val="22"/>
        </w:rPr>
        <w:t>Touy Smith</w:t>
      </w:r>
    </w:p>
    <w:p>
      <w:r>
        <w:rPr>
          <w:rFonts w:ascii="Calibri" w:hAnsi="Calibri"/>
          <w:b w:val="0"/>
          <w:color w:val="555555"/>
          <w:sz w:val="20"/>
        </w:rPr>
        <w:t>1 August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