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Formation Record Summary</w:t>
      </w:r>
    </w:p>
    <w:p>
      <w:r>
        <w:t>Company: Lolo Care, Inc.</w:t>
      </w:r>
    </w:p>
    <w:p>
      <w:r>
        <w:t>Prepared date: June 22, 2026</w:t>
      </w:r>
    </w:p>
    <w:p>
      <w:pPr>
        <w:pStyle w:val="Heading1"/>
      </w:pPr>
      <w:r>
        <w:t>Filed Formation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Official record</w:t>
            </w:r>
          </w:p>
        </w:tc>
      </w:tr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Lolo Care, Inc.</w:t>
            </w:r>
          </w:p>
        </w:tc>
      </w:tr>
      <w:tr>
        <w:tc>
          <w:tcPr>
            <w:tcW w:type="dxa" w:w="4320"/>
          </w:tcPr>
          <w:p>
            <w:r>
              <w:t>Entity type</w:t>
            </w:r>
          </w:p>
        </w:tc>
        <w:tc>
          <w:tcPr>
            <w:tcW w:type="dxa" w:w="4320"/>
          </w:tcPr>
          <w:p>
            <w:r>
              <w:t>Delaware stock corporation</w:t>
            </w:r>
          </w:p>
        </w:tc>
      </w:tr>
      <w:tr>
        <w:tc>
          <w:tcPr>
            <w:tcW w:type="dxa" w:w="4320"/>
          </w:tcPr>
          <w:p>
            <w:r>
              <w:t>Delaware file number</w:t>
            </w:r>
          </w:p>
        </w:tc>
        <w:tc>
          <w:tcPr>
            <w:tcW w:type="dxa" w:w="4320"/>
          </w:tcPr>
          <w:p>
            <w:r>
              <w:t>10661302</w:t>
            </w:r>
          </w:p>
        </w:tc>
      </w:tr>
      <w:tr>
        <w:tc>
          <w:tcPr>
            <w:tcW w:type="dxa" w:w="4320"/>
          </w:tcPr>
          <w:p>
            <w:r>
              <w:t>Certificate date</w:t>
            </w:r>
          </w:p>
        </w:tc>
        <w:tc>
          <w:tcPr>
            <w:tcW w:type="dxa" w:w="4320"/>
          </w:tcPr>
          <w:p>
            <w:r>
              <w:t>June 15, 2026</w:t>
            </w:r>
          </w:p>
        </w:tc>
      </w:tr>
      <w:tr>
        <w:tc>
          <w:tcPr>
            <w:tcW w:type="dxa" w:w="4320"/>
          </w:tcPr>
          <w:p>
            <w:r>
              <w:t>Delaware filing time</w:t>
            </w:r>
          </w:p>
        </w:tc>
        <w:tc>
          <w:tcPr>
            <w:tcW w:type="dxa" w:w="4320"/>
          </w:tcPr>
          <w:p>
            <w:r>
              <w:t>11:53 AM on June 15, 2026</w:t>
            </w:r>
          </w:p>
        </w:tc>
      </w:tr>
      <w:tr>
        <w:tc>
          <w:tcPr>
            <w:tcW w:type="dxa" w:w="4320"/>
          </w:tcPr>
          <w:p>
            <w:r>
              <w:t>Authorized stock</w:t>
            </w:r>
          </w:p>
        </w:tc>
        <w:tc>
          <w:tcPr>
            <w:tcW w:type="dxa" w:w="4320"/>
          </w:tcPr>
          <w:p>
            <w:r>
              <w:t>10,000,000 shares of Common Stock</w:t>
            </w:r>
          </w:p>
        </w:tc>
      </w:tr>
      <w:tr>
        <w:tc>
          <w:tcPr>
            <w:tcW w:type="dxa" w:w="4320"/>
          </w:tcPr>
          <w:p>
            <w:r>
              <w:t>Par value</w:t>
            </w:r>
          </w:p>
        </w:tc>
        <w:tc>
          <w:tcPr>
            <w:tcW w:type="dxa" w:w="4320"/>
          </w:tcPr>
          <w:p>
            <w:r>
              <w:t>$0.00001 per share</w:t>
            </w:r>
          </w:p>
        </w:tc>
      </w:tr>
      <w:tr>
        <w:tc>
          <w:tcPr>
            <w:tcW w:type="dxa" w:w="4320"/>
          </w:tcPr>
          <w:p>
            <w:r>
              <w:t>Registered agent</w:t>
            </w:r>
          </w:p>
        </w:tc>
        <w:tc>
          <w:tcPr>
            <w:tcW w:type="dxa" w:w="4320"/>
          </w:tcPr>
          <w:p>
            <w:r>
              <w:t>A Registered Agent, Inc.</w:t>
            </w:r>
          </w:p>
        </w:tc>
      </w:tr>
      <w:tr>
        <w:tc>
          <w:tcPr>
            <w:tcW w:type="dxa" w:w="4320"/>
          </w:tcPr>
          <w:p>
            <w:r>
              <w:t>Registered office</w:t>
            </w:r>
          </w:p>
        </w:tc>
        <w:tc>
          <w:tcPr>
            <w:tcW w:type="dxa" w:w="4320"/>
          </w:tcPr>
          <w:p>
            <w:r>
              <w:t>8 The Green, Ste A, Dover, DE 19901</w:t>
            </w:r>
          </w:p>
        </w:tc>
      </w:tr>
      <w:tr>
        <w:tc>
          <w:tcPr>
            <w:tcW w:type="dxa" w:w="4320"/>
          </w:tcPr>
          <w:p>
            <w:r>
              <w:t>Incorporator</w:t>
            </w:r>
          </w:p>
        </w:tc>
        <w:tc>
          <w:tcPr>
            <w:tcW w:type="dxa" w:w="4320"/>
          </w:tcPr>
          <w:p>
            <w:r>
              <w:t>A Registered Agent, Inc., by Patrick Brickhouse, Assistant Secretary</w:t>
            </w:r>
          </w:p>
        </w:tc>
      </w:tr>
    </w:tbl>
    <w:p>
      <w:pPr>
        <w:pStyle w:val="Heading1"/>
      </w:pPr>
      <w:r>
        <w:t>Initial Registered-Agent Resolutions</w:t>
      </w:r>
    </w:p>
    <w:p>
      <w:r>
        <w:t>The registered-agent incorporator resolutions dated June 21, 2026 appoint Charles Petrini-Poli as President, Treasurer, Secretary, and Director and relinquish incorporator authority to the appointed officer/director.</w:t>
      </w:r>
    </w:p>
    <w:p>
      <w:r>
        <w:t>Because those resolutions already act as the incorporator action, the draft sole-incorporator consent in this package is superseded and should not be signed. Use the registered-agent resolutions as the corporate record, then use the initial sole director action to add Thibaud Peverelli and confirm the final officer roles.</w:t>
      </w:r>
    </w:p>
    <w:p>
      <w:pPr>
        <w:pStyle w:val="Heading1"/>
      </w:pPr>
      <w:r>
        <w:t>Record-Keeping Note</w:t>
      </w:r>
    </w:p>
    <w:p>
      <w:r>
        <w:t>Keep the filed Certificate of Incorporation, the registered-agent incorporator resolutions, this summary, the adopted bylaws, director/officer actions, stock issuance approvals, stock ledger, and signed stock purchase agreements in the corporate minute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