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Governance Summary</w:t>
      </w:r>
    </w:p>
    <w:p>
      <w:r>
        <w:t>Company: Lolo Care, Inc.</w:t>
      </w:r>
    </w:p>
    <w:p>
      <w:r>
        <w:t>State of incorporation: Delaware</w:t>
      </w:r>
    </w:p>
    <w:p>
      <w:r>
        <w:t>Date: [DATE]</w:t>
      </w:r>
    </w:p>
    <w:p>
      <w:pPr>
        <w:pStyle w:val="Heading1"/>
      </w:pPr>
      <w:r>
        <w:t>Official Formation Record</w:t>
      </w:r>
    </w:p>
    <w:p>
      <w:r>
        <w:t>The Company's filed certificate of incorporation states that its legal name is Lolo Care, Inc. It was filed in Delaware on June 15, 2026, file number 10661302, and authorizes 10,000,000 shares of Common Stock with par value $0.00001 per share. The Delaware registered agent is A Registered Agent, Inc., 8 The Green, Ste A, Dover, DE 19901.</w:t>
      </w:r>
    </w:p>
    <w:p>
      <w:pPr>
        <w:pStyle w:val="Heading1"/>
      </w:pPr>
      <w:r>
        <w:t>Initial Registered-Agent Resolutions</w:t>
      </w:r>
    </w:p>
    <w:p>
      <w:r>
        <w:t>The registered-agent incorporator resolutions dated June 21, 2026 appointed Charles Petrini-Poli as initial President, Treasurer, Secretary, and Director. The separate sole-incorporator draft in this package is superseded and should not be signed. Use the initial sole director action to add Thibaud Peverelli and confirm the final officer roles.</w:t>
      </w:r>
    </w:p>
    <w:p>
      <w:pPr>
        <w:pStyle w:val="Heading1"/>
      </w:pPr>
      <w:r>
        <w:t>Current Founder Ownership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Founder</w:t>
            </w:r>
          </w:p>
        </w:tc>
        <w:tc>
          <w:tcPr>
            <w:tcW w:type="dxa" w:w="2448"/>
          </w:tcPr>
          <w:p>
            <w:r>
              <w:t>Shares</w:t>
            </w:r>
          </w:p>
        </w:tc>
        <w:tc>
          <w:tcPr>
            <w:tcW w:type="dxa" w:w="2448"/>
          </w:tcPr>
          <w:p>
            <w:r>
              <w:t>Percent of authorized shares</w:t>
            </w:r>
          </w:p>
        </w:tc>
        <w:tc>
          <w:tcPr>
            <w:tcW w:type="dxa" w:w="2448"/>
          </w:tcPr>
          <w:p>
            <w:r>
              <w:t>Percent of issued and outstanding shares</w:t>
            </w:r>
          </w:p>
        </w:tc>
      </w:tr>
      <w:tr>
        <w:tc>
          <w:tcPr>
            <w:tcW w:type="dxa" w:w="2448"/>
          </w:tcPr>
          <w:p>
            <w:r>
              <w:t>Charles Petrini-Poli</w:t>
            </w:r>
          </w:p>
        </w:tc>
        <w:tc>
          <w:tcPr>
            <w:tcW w:type="dxa" w:w="2448"/>
          </w:tcPr>
          <w:p>
            <w:r>
              <w:t>5,000,000</w:t>
            </w:r>
          </w:p>
        </w:tc>
        <w:tc>
          <w:tcPr>
            <w:tcW w:type="dxa" w:w="2448"/>
          </w:tcPr>
          <w:p>
            <w:r>
              <w:t>50.00%</w:t>
            </w:r>
          </w:p>
        </w:tc>
        <w:tc>
          <w:tcPr>
            <w:tcW w:type="dxa" w:w="2448"/>
          </w:tcPr>
          <w:p>
            <w:r>
              <w:t>62.50%</w:t>
            </w:r>
          </w:p>
        </w:tc>
      </w:tr>
      <w:tr>
        <w:tc>
          <w:tcPr>
            <w:tcW w:type="dxa" w:w="2448"/>
          </w:tcPr>
          <w:p>
            <w:r>
              <w:t>Thibaud Peverelli</w:t>
            </w:r>
          </w:p>
        </w:tc>
        <w:tc>
          <w:tcPr>
            <w:tcW w:type="dxa" w:w="2448"/>
          </w:tcPr>
          <w:p>
            <w:r>
              <w:t>3,000,000</w:t>
            </w:r>
          </w:p>
        </w:tc>
        <w:tc>
          <w:tcPr>
            <w:tcW w:type="dxa" w:w="2448"/>
          </w:tcPr>
          <w:p>
            <w:r>
              <w:t>30.00%</w:t>
            </w:r>
          </w:p>
        </w:tc>
        <w:tc>
          <w:tcPr>
            <w:tcW w:type="dxa" w:w="2448"/>
          </w:tcPr>
          <w:p>
            <w:r>
              <w:t>37.50%</w:t>
            </w:r>
          </w:p>
        </w:tc>
      </w:tr>
    </w:tbl>
    <w:p>
      <w:r>
        <w:t>The company also has 2,000,000 authorized but unissued shares of Common Stock.</w:t>
      </w:r>
    </w:p>
    <w:p>
      <w:pPr>
        <w:pStyle w:val="Heading1"/>
      </w:pPr>
      <w:r>
        <w:t>Board Structure</w:t>
      </w:r>
    </w:p>
    <w:tbl>
      <w:tblPr>
        <w:tblStyle w:val="TableGrid"/>
        <w:tblW w:type="auto" w:w="0"/>
        <w:tblLook w:firstColumn="1" w:firstRow="1" w:lastColumn="0" w:lastRow="0" w:noHBand="0" w:noVBand="1" w:val="04A0"/>
      </w:tblPr>
      <w:tblGrid>
        <w:gridCol w:w="3264"/>
        <w:gridCol w:w="3264"/>
        <w:gridCol w:w="3264"/>
      </w:tblGrid>
      <w:tr>
        <w:tc>
          <w:tcPr>
            <w:tcW w:type="dxa" w:w="3264"/>
          </w:tcPr>
          <w:p>
            <w:r>
              <w:t>Seat</w:t>
            </w:r>
          </w:p>
        </w:tc>
        <w:tc>
          <w:tcPr>
            <w:tcW w:type="dxa" w:w="3264"/>
          </w:tcPr>
          <w:p>
            <w:r>
              <w:t>Director</w:t>
            </w:r>
          </w:p>
        </w:tc>
        <w:tc>
          <w:tcPr>
            <w:tcW w:type="dxa" w:w="3264"/>
          </w:tcPr>
          <w:p>
            <w:r>
              <w:t>Designation right</w:t>
            </w:r>
          </w:p>
        </w:tc>
      </w:tr>
      <w:tr>
        <w:tc>
          <w:tcPr>
            <w:tcW w:type="dxa" w:w="3264"/>
          </w:tcPr>
          <w:p>
            <w:r>
              <w:t>Founder Seat 1</w:t>
            </w:r>
          </w:p>
        </w:tc>
        <w:tc>
          <w:tcPr>
            <w:tcW w:type="dxa" w:w="3264"/>
          </w:tcPr>
          <w:p>
            <w:r>
              <w:t>Charles Petrini-Poli</w:t>
            </w:r>
          </w:p>
        </w:tc>
        <w:tc>
          <w:tcPr>
            <w:tcW w:type="dxa" w:w="3264"/>
          </w:tcPr>
          <w:p>
            <w:r>
              <w:t>Charles Petrini-Poli</w:t>
            </w:r>
          </w:p>
        </w:tc>
      </w:tr>
      <w:tr>
        <w:tc>
          <w:tcPr>
            <w:tcW w:type="dxa" w:w="3264"/>
          </w:tcPr>
          <w:p>
            <w:r>
              <w:t>Founder Seat 2</w:t>
            </w:r>
          </w:p>
        </w:tc>
        <w:tc>
          <w:tcPr>
            <w:tcW w:type="dxa" w:w="3264"/>
          </w:tcPr>
          <w:p>
            <w:r>
              <w:t>Thibaud Peverelli</w:t>
            </w:r>
          </w:p>
        </w:tc>
        <w:tc>
          <w:tcPr>
            <w:tcW w:type="dxa" w:w="3264"/>
          </w:tcPr>
          <w:p>
            <w:r>
              <w:t>Thibaud Peverelli</w:t>
            </w:r>
          </w:p>
        </w:tc>
      </w:tr>
    </w:tbl>
    <w:p>
      <w:r>
        <w:t>The board size is fixed at two directors unless changed under the bylaws and the Founder Voting and Governance Agreement.</w:t>
      </w:r>
    </w:p>
    <w:p>
      <w:pPr>
        <w:pStyle w:val="Heading1"/>
      </w:pPr>
      <w:r>
        <w:t>Board Voting</w:t>
      </w:r>
    </w:p>
    <w:p>
      <w:r>
        <w:t>For so long as the board has two directors:</w:t>
      </w:r>
    </w:p>
    <w:p>
      <w:pPr>
        <w:pStyle w:val="ListBullet"/>
      </w:pPr>
      <w:r>
        <w:t>both directors are required for quorum;</w:t>
      </w:r>
    </w:p>
    <w:p>
      <w:pPr>
        <w:pStyle w:val="ListBullet"/>
      </w:pPr>
      <w:r>
        <w:t>both directors must approve any board action;</w:t>
      </w:r>
    </w:p>
    <w:p>
      <w:pPr>
        <w:pStyle w:val="ListBullet"/>
      </w:pPr>
      <w:r>
        <w:t>action by written consent requires unanimous written consent;</w:t>
      </w:r>
    </w:p>
    <w:p>
      <w:pPr>
        <w:pStyle w:val="ListBullet"/>
      </w:pPr>
      <w:r>
        <w:t>if the directors deadlock, the Founders first discuss in good faith, then consult a mutually agreed advisor if needed, and then either Founder may call for a vote of all stockholders to resolve the issue to the extent permitted by law and the governing documents.</w:t>
      </w:r>
    </w:p>
    <w:p>
      <w:pPr>
        <w:pStyle w:val="Heading1"/>
      </w:pPr>
      <w:r>
        <w:t>Stockholder Voting</w:t>
      </w:r>
    </w:p>
    <w:p>
      <w:r>
        <w:t>Charles and Thibaud agree to vote their shares to elect and maintain both founders as directors. This is important because Charles holds a majority of the issued and outstanding shares after the founder issuance.</w:t>
      </w:r>
    </w:p>
    <w:p>
      <w:pPr>
        <w:pStyle w:val="Heading1"/>
      </w:pPr>
      <w:r>
        <w:t>Reserved Matters</w:t>
      </w:r>
    </w:p>
    <w:p>
      <w:r>
        <w:t>Major company actions require the approval described in the Reserved Matters Schedule. These include equity issuances, option pool creation, amendments to charter or bylaws, debt, major spending, founder compensation, related-party transactions, sale of the company, major IP decisions, and dissolution.</w:t>
      </w:r>
    </w:p>
    <w:p>
      <w:pPr>
        <w:pStyle w:val="Heading1"/>
      </w:pPr>
      <w:r>
        <w:t>Ordinary-Course Authority</w:t>
      </w:r>
    </w:p>
    <w:p>
      <w:r>
        <w:t>The board may delegate ordinary-course signing, spending, banking, hiring, and operational authority to officers through the Board Approval Authority Matrix. Delegated authority does not override the Reserved Matters Schedule.</w:t>
      </w:r>
    </w:p>
    <w:p>
      <w:pPr>
        <w:pStyle w:val="Heading1"/>
      </w:pPr>
      <w:r>
        <w:t>Documents That Control</w:t>
      </w:r>
    </w:p>
    <w:p>
      <w:r>
        <w:t>If there is a conflict, the documents should generally be read in this order:</w:t>
      </w:r>
    </w:p>
    <w:p>
      <w:pPr>
        <w:pStyle w:val="ListNumber"/>
      </w:pPr>
      <w:r>
        <w:t>Certificate of incorporation.</w:t>
      </w:r>
    </w:p>
    <w:p>
      <w:pPr>
        <w:pStyle w:val="ListNumber"/>
      </w:pPr>
      <w:r>
        <w:t>Delaware law.</w:t>
      </w:r>
    </w:p>
    <w:p>
      <w:pPr>
        <w:pStyle w:val="ListNumber"/>
      </w:pPr>
      <w:r>
        <w:t>Bylaws.</w:t>
      </w:r>
    </w:p>
    <w:p>
      <w:pPr>
        <w:pStyle w:val="ListNumber"/>
      </w:pPr>
      <w:r>
        <w:t>Founder Voting and Governance Agreement.</w:t>
      </w:r>
    </w:p>
    <w:p>
      <w:pPr>
        <w:pStyle w:val="ListNumber"/>
      </w:pPr>
      <w:r>
        <w:t>Board Approval Authority Matrix and internal policies.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