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[DATE],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Charles Petrini-Poli</w:t>
            </w:r>
          </w:p>
        </w:tc>
        <w:tc>
          <w:tcPr>
            <w:tcW w:type="dxa" w:w="4896"/>
          </w:tcPr>
          <w:p>
            <w:r>
              <w:t>Chief Executive Officer</w:t>
            </w:r>
          </w:p>
        </w:tc>
      </w:tr>
      <w:tr>
        <w:tc>
          <w:tcPr>
            <w:tcW w:type="dxa" w:w="4896"/>
          </w:tcPr>
          <w:p>
            <w:r>
              <w:t>Charles Petrini-Poli</w:t>
            </w:r>
          </w:p>
        </w:tc>
        <w:tc>
          <w:tcPr>
            <w:tcW w:type="dxa" w:w="4896"/>
          </w:tcPr>
          <w:p>
            <w:r>
              <w:t>President</w:t>
            </w:r>
          </w:p>
        </w:tc>
      </w:tr>
      <w:tr>
        <w:tc>
          <w:tcPr>
            <w:tcW w:type="dxa" w:w="4896"/>
          </w:tcPr>
          <w:p>
            <w:r>
              <w:t>Thibaud Peverelli</w:t>
            </w:r>
          </w:p>
        </w:tc>
        <w:tc>
          <w:tcPr>
            <w:tcW w:type="dxa" w:w="4896"/>
          </w:tcPr>
          <w:p>
            <w:r>
              <w:t>Secretary</w:t>
            </w:r>
          </w:p>
        </w:tc>
      </w:tr>
      <w:tr>
        <w:tc>
          <w:tcPr>
            <w:tcW w:type="dxa" w:w="4896"/>
          </w:tcPr>
          <w:p>
            <w:r>
              <w:t>Thibaud Peverelli</w:t>
            </w:r>
          </w:p>
        </w:tc>
        <w:tc>
          <w:tcPr>
            <w:tcW w:type="dxa" w:w="4896"/>
          </w:tcPr>
          <w:p>
            <w:r>
              <w:t>Treasurer</w:t>
            </w:r>
          </w:p>
        </w:tc>
      </w:tr>
    </w:tbl>
    <w:p>
      <w:r>
        <w:t>RESOLVED FURTHER, that the Officer Roles and Authority Appendix, in substantially the form presented to the Board, is hereby adopted and approved as a practical summary of the responsibilities and authority of Charles Petrini-Poli as Chief Executive Officer and President and Thibaud Peverelli as Secretary and Treasurer;</w:t>
      </w:r>
    </w:p>
    <w:p>
      <w:pPr>
        <w:pStyle w:val="Heading1"/>
      </w:pPr>
      <w:r>
        <w:t>Officer Roles and Authority Appendix</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Petrini-Poli</w:t>
      </w:r>
    </w:p>
    <w:p>
      <w:r>
        <w:t>Director:</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