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Initial Statement of Work</w:t>
      </w:r>
    </w:p>
    <w:p>
      <w:r>
        <w:t>Exhibit A to Legal Services and Strategic Advisor Agreement</w:t>
      </w:r>
    </w:p>
    <w:p>
      <w:r>
        <w:t>Company: LoLo Care Inc</w:t>
      </w:r>
    </w:p>
    <w:p>
      <w:r>
        <w:t>Advisor: Ronald J. Antonelli</w:t>
      </w:r>
    </w:p>
    <w:p>
      <w:r>
        <w:t>Effective date: [DATE]</w:t>
      </w:r>
    </w:p>
    <w:p>
      <w:pPr>
        <w:pStyle w:val="Heading1"/>
      </w:pPr>
      <w:r>
        <w:t>1. Initial Objectives</w:t>
      </w:r>
    </w:p>
    <w:p>
      <w:r>
        <w:t>RJ will assist LoLo Care Inc with legal, regulatory, corporate, operational, commercial, and strategic tasks assigned by the Board or authorized officers.</w:t>
      </w:r>
    </w:p>
    <w:p>
      <w:pPr>
        <w:pStyle w:val="Heading1"/>
      </w:pPr>
      <w:r>
        <w:t>2. Initial Task Categories</w:t>
      </w:r>
    </w:p>
    <w:p>
      <w:r>
        <w:t>The initial task categories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Category</w:t>
            </w:r>
          </w:p>
        </w:tc>
        <w:tc>
          <w:tcPr>
            <w:tcW w:type="dxa" w:w="3264"/>
          </w:tcPr>
          <w:p>
            <w:r>
              <w:t>Example deliverables</w:t>
            </w:r>
          </w:p>
        </w:tc>
        <w:tc>
          <w:tcPr>
            <w:tcW w:type="dxa" w:w="3264"/>
          </w:tcPr>
          <w:p>
            <w:r>
              <w:t>Priority</w:t>
            </w:r>
          </w:p>
        </w:tc>
      </w:tr>
      <w:tr>
        <w:tc>
          <w:tcPr>
            <w:tcW w:type="dxa" w:w="3264"/>
          </w:tcPr>
          <w:p>
            <w:r>
              <w:t>Corporate governance</w:t>
            </w:r>
          </w:p>
        </w:tc>
        <w:tc>
          <w:tcPr>
            <w:tcW w:type="dxa" w:w="3264"/>
          </w:tcPr>
          <w:p>
            <w:r>
              <w:t>Review and improve bylaws, consents, cap table records, stockholder records, and governance workflows</w:t>
            </w:r>
          </w:p>
        </w:tc>
        <w:tc>
          <w:tcPr>
            <w:tcW w:type="dxa" w:w="3264"/>
          </w:tcPr>
          <w:p>
            <w:r>
              <w:t>High</w:t>
            </w:r>
          </w:p>
        </w:tc>
      </w:tr>
      <w:tr>
        <w:tc>
          <w:tcPr>
            <w:tcW w:type="dxa" w:w="3264"/>
          </w:tcPr>
          <w:p>
            <w:r>
              <w:t>Equity and financing readiness</w:t>
            </w:r>
          </w:p>
        </w:tc>
        <w:tc>
          <w:tcPr>
            <w:tcW w:type="dxa" w:w="3264"/>
          </w:tcPr>
          <w:p>
            <w:r>
              <w:t>Review founder equity package, minority stockholder package, investor materials, securities exemption strategy, and future option pool structure</w:t>
            </w:r>
          </w:p>
        </w:tc>
        <w:tc>
          <w:tcPr>
            <w:tcW w:type="dxa" w:w="3264"/>
          </w:tcPr>
          <w:p>
            <w:r>
              <w:t>High</w:t>
            </w:r>
          </w:p>
        </w:tc>
      </w:tr>
      <w:tr>
        <w:tc>
          <w:tcPr>
            <w:tcW w:type="dxa" w:w="3264"/>
          </w:tcPr>
          <w:p>
            <w:r>
              <w:t>Commercial contracts</w:t>
            </w:r>
          </w:p>
        </w:tc>
        <w:tc>
          <w:tcPr>
            <w:tcW w:type="dxa" w:w="3264"/>
          </w:tcPr>
          <w:p>
            <w:r>
              <w:t>Draft or review customer, caregiver, vendor, partner, advisor, and platform agreements</w:t>
            </w:r>
          </w:p>
        </w:tc>
        <w:tc>
          <w:tcPr>
            <w:tcW w:type="dxa" w:w="3264"/>
          </w:tcPr>
          <w:p>
            <w:r>
              <w:t>High</w:t>
            </w:r>
          </w:p>
        </w:tc>
      </w:tr>
      <w:tr>
        <w:tc>
          <w:tcPr>
            <w:tcW w:type="dxa" w:w="3264"/>
          </w:tcPr>
          <w:p>
            <w:r>
              <w:t>Regulatory and compliance</w:t>
            </w:r>
          </w:p>
        </w:tc>
        <w:tc>
          <w:tcPr>
            <w:tcW w:type="dxa" w:w="3264"/>
          </w:tcPr>
          <w:p>
            <w:r>
              <w:t>Identify licensing, healthcare, homecare, privacy, employment, contractor, consumer protection, and state compliance issues</w:t>
            </w:r>
          </w:p>
        </w:tc>
        <w:tc>
          <w:tcPr>
            <w:tcW w:type="dxa" w:w="3264"/>
          </w:tcPr>
          <w:p>
            <w:r>
              <w:t>High</w:t>
            </w:r>
          </w:p>
        </w:tc>
      </w:tr>
      <w:tr>
        <w:tc>
          <w:tcPr>
            <w:tcW w:type="dxa" w:w="3264"/>
          </w:tcPr>
          <w:p>
            <w:r>
              <w:t>Fundraising support</w:t>
            </w:r>
          </w:p>
        </w:tc>
        <w:tc>
          <w:tcPr>
            <w:tcW w:type="dxa" w:w="3264"/>
          </w:tcPr>
          <w:p>
            <w:r>
              <w:t>Review fundraising documents, investor diligence materials, SAFE/note/equity structures, and disclosure materials</w:t>
            </w:r>
          </w:p>
        </w:tc>
        <w:tc>
          <w:tcPr>
            <w:tcW w:type="dxa" w:w="3264"/>
          </w:tcPr>
          <w:p>
            <w:r>
              <w:t>Medium</w:t>
            </w:r>
          </w:p>
        </w:tc>
      </w:tr>
      <w:tr>
        <w:tc>
          <w:tcPr>
            <w:tcW w:type="dxa" w:w="3264"/>
          </w:tcPr>
          <w:p>
            <w:r>
              <w:t>IP and confidentiality</w:t>
            </w:r>
          </w:p>
        </w:tc>
        <w:tc>
          <w:tcPr>
            <w:tcW w:type="dxa" w:w="3264"/>
          </w:tcPr>
          <w:p>
            <w:r>
              <w:t>Review IP assignment, confidentiality, invention assignment, contractor, and advisor IP controls</w:t>
            </w:r>
          </w:p>
        </w:tc>
        <w:tc>
          <w:tcPr>
            <w:tcW w:type="dxa" w:w="3264"/>
          </w:tcPr>
          <w:p>
            <w:r>
              <w:t>Medium</w:t>
            </w:r>
          </w:p>
        </w:tc>
      </w:tr>
      <w:tr>
        <w:tc>
          <w:tcPr>
            <w:tcW w:type="dxa" w:w="3264"/>
          </w:tcPr>
          <w:p>
            <w:r>
              <w:t>Risk management</w:t>
            </w:r>
          </w:p>
        </w:tc>
        <w:tc>
          <w:tcPr>
            <w:tcW w:type="dxa" w:w="3264"/>
          </w:tcPr>
          <w:p>
            <w:r>
              <w:t>Create legal risk register, insurance recommendations, and dispute/litigation response workflow</w:t>
            </w:r>
          </w:p>
        </w:tc>
        <w:tc>
          <w:tcPr>
            <w:tcW w:type="dxa" w:w="3264"/>
          </w:tcPr>
          <w:p>
            <w:r>
              <w:t>Medium</w:t>
            </w:r>
          </w:p>
        </w:tc>
      </w:tr>
    </w:tbl>
    <w:p>
      <w:pPr>
        <w:pStyle w:val="Heading1"/>
      </w:pPr>
      <w:r>
        <w:t>3. Initial Milestones</w:t>
      </w:r>
    </w:p>
    <w:p>
      <w:r>
        <w:t>The following milestones should be customized before signature: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Milestone</w:t>
            </w:r>
          </w:p>
        </w:tc>
        <w:tc>
          <w:tcPr>
            <w:tcW w:type="dxa" w:w="3264"/>
          </w:tcPr>
          <w:p>
            <w:r>
              <w:t>Due date</w:t>
            </w:r>
          </w:p>
        </w:tc>
        <w:tc>
          <w:tcPr>
            <w:tcW w:type="dxa" w:w="3264"/>
          </w:tcPr>
          <w:p>
            <w:r>
              <w:t>Acceptance standard</w:t>
            </w:r>
          </w:p>
        </w:tc>
      </w:tr>
      <w:tr>
        <w:tc>
          <w:tcPr>
            <w:tcW w:type="dxa" w:w="3264"/>
          </w:tcPr>
          <w:p>
            <w:r>
              <w:t>[TASK 1]</w:t>
            </w:r>
          </w:p>
        </w:tc>
        <w:tc>
          <w:tcPr>
            <w:tcW w:type="dxa" w:w="3264"/>
          </w:tcPr>
          <w:p>
            <w:r>
              <w:t>[DATE]</w:t>
            </w:r>
          </w:p>
        </w:tc>
        <w:tc>
          <w:tcPr>
            <w:tcW w:type="dxa" w:w="3264"/>
          </w:tcPr>
          <w:p>
            <w:r>
              <w:t>Board or authorized officer confirms substantial completion</w:t>
            </w:r>
          </w:p>
        </w:tc>
      </w:tr>
      <w:tr>
        <w:tc>
          <w:tcPr>
            <w:tcW w:type="dxa" w:w="3264"/>
          </w:tcPr>
          <w:p>
            <w:r>
              <w:t>[TASK 2]</w:t>
            </w:r>
          </w:p>
        </w:tc>
        <w:tc>
          <w:tcPr>
            <w:tcW w:type="dxa" w:w="3264"/>
          </w:tcPr>
          <w:p>
            <w:r>
              <w:t>[DATE]</w:t>
            </w:r>
          </w:p>
        </w:tc>
        <w:tc>
          <w:tcPr>
            <w:tcW w:type="dxa" w:w="3264"/>
          </w:tcPr>
          <w:p>
            <w:r>
              <w:t>Board or authorized officer confirms substantial completion</w:t>
            </w:r>
          </w:p>
        </w:tc>
      </w:tr>
      <w:tr>
        <w:tc>
          <w:tcPr>
            <w:tcW w:type="dxa" w:w="3264"/>
          </w:tcPr>
          <w:p>
            <w:r>
              <w:t>[TASK 3]</w:t>
            </w:r>
          </w:p>
        </w:tc>
        <w:tc>
          <w:tcPr>
            <w:tcW w:type="dxa" w:w="3264"/>
          </w:tcPr>
          <w:p>
            <w:r>
              <w:t>[DATE]</w:t>
            </w:r>
          </w:p>
        </w:tc>
        <w:tc>
          <w:tcPr>
            <w:tcW w:type="dxa" w:w="3264"/>
          </w:tcPr>
          <w:p>
            <w:r>
              <w:t>Board or authorized officer confirms substantial completion</w:t>
            </w:r>
          </w:p>
        </w:tc>
      </w:tr>
      <w:tr>
        <w:tc>
          <w:tcPr>
            <w:tcW w:type="dxa" w:w="3264"/>
          </w:tcPr>
          <w:p>
            <w:r>
              <w:t>[TASK 4]</w:t>
            </w:r>
          </w:p>
        </w:tc>
        <w:tc>
          <w:tcPr>
            <w:tcW w:type="dxa" w:w="3264"/>
          </w:tcPr>
          <w:p>
            <w:r>
              <w:t>[DATE]</w:t>
            </w:r>
          </w:p>
        </w:tc>
        <w:tc>
          <w:tcPr>
            <w:tcW w:type="dxa" w:w="3264"/>
          </w:tcPr>
          <w:p>
            <w:r>
              <w:t>Board or authorized officer confirms substantial completion</w:t>
            </w:r>
          </w:p>
        </w:tc>
      </w:tr>
    </w:tbl>
    <w:p>
      <w:pPr>
        <w:pStyle w:val="Heading1"/>
      </w:pPr>
      <w:r>
        <w:t>4. Monthly Review</w:t>
      </w:r>
    </w:p>
    <w:p>
      <w:r>
        <w:t>At least once per month during the 18-month vesting period, RJ and the Company will review:</w:t>
      </w:r>
    </w:p>
    <w:p>
      <w:pPr>
        <w:pStyle w:val="ListBullet"/>
      </w:pPr>
      <w:r>
        <w:t>completed tasks;</w:t>
      </w:r>
    </w:p>
    <w:p>
      <w:pPr>
        <w:pStyle w:val="ListBullet"/>
      </w:pPr>
      <w:r>
        <w:t>open tasks;</w:t>
      </w:r>
    </w:p>
    <w:p>
      <w:pPr>
        <w:pStyle w:val="ListBullet"/>
      </w:pPr>
      <w:r>
        <w:t>blockers requiring Company input;</w:t>
      </w:r>
    </w:p>
    <w:p>
      <w:pPr>
        <w:pStyle w:val="ListBullet"/>
      </w:pPr>
      <w:r>
        <w:t>upcoming priorities;</w:t>
      </w:r>
    </w:p>
    <w:p>
      <w:pPr>
        <w:pStyle w:val="ListBullet"/>
      </w:pPr>
      <w:r>
        <w:t>funding commitment status;</w:t>
      </w:r>
    </w:p>
    <w:p>
      <w:pPr>
        <w:pStyle w:val="ListBullet"/>
      </w:pPr>
      <w:r>
        <w:t>whether vesting conditions for the period have been satisfied.</w:t>
      </w:r>
    </w:p>
    <w:p>
      <w:pPr>
        <w:pStyle w:val="Heading1"/>
      </w:pPr>
      <w:r>
        <w:t>5. Professional Limits</w:t>
      </w:r>
    </w:p>
    <w:p>
      <w:r>
        <w:t>RJ is not required to guarantee results, take positions that RJ reasonably believes are improper, or perform work that would violate applicable legal ethics rules.</w:t>
      </w:r>
    </w:p>
    <w:p>
      <w:pPr>
        <w:pStyle w:val="Heading1"/>
      </w:pPr>
      <w:r>
        <w:t>6. Company Cooperation</w:t>
      </w:r>
    </w:p>
    <w:p>
      <w:r>
        <w:t>The Company will provide timely information, documents, access, approvals, and business decisions reasonably required for RJ to complete assigned tasks.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