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Capital Contribution and Funding Commitment Agreement</w:t>
      </w:r>
    </w:p>
    <w:p>
      <w:r>
        <w:t>This Capital Contribution and Funding Commitment Agreement (this "Agreement") is entered into as of [DATE], by and between LoLo Care Inc, a Delaware corporation (the "Company"), and Ronald J. Antonelli ("RJ").</w:t>
      </w:r>
    </w:p>
    <w:p>
      <w:pPr>
        <w:pStyle w:val="Heading1"/>
      </w:pPr>
      <w:r>
        <w:t>1. Funding Commitment</w:t>
      </w:r>
    </w:p>
    <w:p>
      <w:r>
        <w:t>RJ agrees to contribute $1,000 per month to the Company for 6 consecutive months, for a total commitment of $6,000 (the "Funding Commitment").</w:t>
      </w:r>
    </w:p>
    <w:p>
      <w:pPr>
        <w:pStyle w:val="Heading1"/>
      </w:pPr>
      <w:r>
        <w:t>2.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Installment</w:t>
            </w:r>
          </w:p>
        </w:tc>
        <w:tc>
          <w:tcPr>
            <w:tcW w:type="dxa" w:w="3264"/>
          </w:tcPr>
          <w:p>
            <w:r>
              <w:t>Due date</w:t>
            </w:r>
          </w:p>
        </w:tc>
        <w:tc>
          <w:tcPr>
            <w:tcW w:type="dxa" w:w="3264"/>
          </w:tcPr>
          <w:p>
            <w:r>
              <w:t>Amount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[FUNDING DUE DATE 1]</w:t>
            </w:r>
          </w:p>
        </w:tc>
        <w:tc>
          <w:tcPr>
            <w:tcW w:type="dxa" w:w="3264"/>
          </w:tcPr>
          <w:p>
            <w:r>
              <w:t>$1,000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[FUNDING DUE DATE 2]</w:t>
            </w:r>
          </w:p>
        </w:tc>
        <w:tc>
          <w:tcPr>
            <w:tcW w:type="dxa" w:w="3264"/>
          </w:tcPr>
          <w:p>
            <w:r>
              <w:t>$1,000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[FUNDING DUE DATE 3]</w:t>
            </w:r>
          </w:p>
        </w:tc>
        <w:tc>
          <w:tcPr>
            <w:tcW w:type="dxa" w:w="3264"/>
          </w:tcPr>
          <w:p>
            <w:r>
              <w:t>$1,000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[FUNDING DUE DATE 4]</w:t>
            </w:r>
          </w:p>
        </w:tc>
        <w:tc>
          <w:tcPr>
            <w:tcW w:type="dxa" w:w="3264"/>
          </w:tcPr>
          <w:p>
            <w:r>
              <w:t>$1,000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[FUNDING DUE DATE 5]</w:t>
            </w:r>
          </w:p>
        </w:tc>
        <w:tc>
          <w:tcPr>
            <w:tcW w:type="dxa" w:w="3264"/>
          </w:tcPr>
          <w:p>
            <w:r>
              <w:t>$1,000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[FUNDING DUE DATE 6]</w:t>
            </w:r>
          </w:p>
        </w:tc>
        <w:tc>
          <w:tcPr>
            <w:tcW w:type="dxa" w:w="3264"/>
          </w:tcPr>
          <w:p>
            <w:r>
              <w:t>$1,000</w:t>
            </w:r>
          </w:p>
        </w:tc>
      </w:tr>
      <w:tr>
        <w:tc>
          <w:tcPr>
            <w:tcW w:type="dxa" w:w="3264"/>
          </w:tcPr>
          <w:p>
            <w:r>
              <w:t>Total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>
              <w:t>$6,000</w:t>
            </w:r>
          </w:p>
        </w:tc>
      </w:tr>
    </w:tbl>
    <w:p>
      <w:pPr>
        <w:pStyle w:val="Heading1"/>
      </w:pPr>
      <w:r>
        <w:t>3. Character of Contributions</w:t>
      </w:r>
    </w:p>
    <w:p>
      <w:r>
        <w:t>Unless the Board approves otherwise in writing before a payment is made:</w:t>
      </w:r>
    </w:p>
    <w:p>
      <w:pPr>
        <w:pStyle w:val="ListBullet"/>
      </w:pPr>
      <w:r>
        <w:t>each payment is a capital contribution to the Company;</w:t>
      </w:r>
    </w:p>
    <w:p>
      <w:pPr>
        <w:pStyle w:val="ListBullet"/>
      </w:pPr>
      <w:r>
        <w:t>no payment is a loan;</w:t>
      </w:r>
    </w:p>
    <w:p>
      <w:pPr>
        <w:pStyle w:val="ListBullet"/>
      </w:pPr>
      <w:r>
        <w:t>no payment bears interest;</w:t>
      </w:r>
    </w:p>
    <w:p>
      <w:pPr>
        <w:pStyle w:val="ListBullet"/>
      </w:pPr>
      <w:r>
        <w:t>no payment is automatically refundable;</w:t>
      </w:r>
    </w:p>
    <w:p>
      <w:pPr>
        <w:pStyle w:val="ListBullet"/>
      </w:pPr>
      <w:r>
        <w:t>no payment entitles RJ to additional shares, options, warrants, SAFEs, notes, liquidation preference, or other securities.</w:t>
      </w:r>
    </w:p>
    <w:p>
      <w:pPr>
        <w:pStyle w:val="Heading1"/>
      </w:pPr>
      <w:r>
        <w:t>4. Payment Method</w:t>
      </w:r>
    </w:p>
    <w:p>
      <w:r>
        <w:t>RJ shall make payments by wire transfer, ACH, check, or another method approved by the Company. The Company shall provide payment instructions in writing.</w:t>
      </w:r>
    </w:p>
    <w:p>
      <w:pPr>
        <w:pStyle w:val="Heading1"/>
      </w:pPr>
      <w:r>
        <w:t>5. Default</w:t>
      </w:r>
    </w:p>
    <w:p>
      <w:r>
        <w:t xml:space="preserve">5.1 </w:t>
      </w:r>
      <w:r>
        <w:rPr>
          <w:b/>
        </w:rPr>
        <w:t>Funding Default.</w:t>
      </w:r>
      <w:r>
        <w:t xml:space="preserve"> RJ is in funding default if a required installment remains unpaid for 10 business days after written notice from the Company.</w:t>
      </w:r>
    </w:p>
    <w:p>
      <w:r>
        <w:t xml:space="preserve">5.2 </w:t>
      </w:r>
      <w:r>
        <w:rPr>
          <w:b/>
        </w:rPr>
        <w:t>Effect of Default.</w:t>
      </w:r>
      <w:r>
        <w:t xml:space="preserve"> A funding default may:</w:t>
      </w:r>
    </w:p>
    <w:p>
      <w:pPr>
        <w:pStyle w:val="ListBullet"/>
      </w:pPr>
      <w:r>
        <w:t>constitute a material default under the Legal Services and Strategic Advisor Agreement;</w:t>
      </w:r>
    </w:p>
    <w:p>
      <w:pPr>
        <w:pStyle w:val="ListBullet"/>
      </w:pPr>
      <w:r>
        <w:t>pause vesting of unvested shares;</w:t>
      </w:r>
    </w:p>
    <w:p>
      <w:pPr>
        <w:pStyle w:val="ListBullet"/>
      </w:pPr>
      <w:r>
        <w:t>trigger company repurchase rights for unvested shares;</w:t>
      </w:r>
    </w:p>
    <w:p>
      <w:pPr>
        <w:pStyle w:val="ListBullet"/>
      </w:pPr>
      <w:r>
        <w:t>allow the Company to pursue any remedies available under the applicable agreements and law.</w:t>
      </w:r>
    </w:p>
    <w:p>
      <w:r>
        <w:t xml:space="preserve">5.3 </w:t>
      </w:r>
      <w:r>
        <w:rPr>
          <w:b/>
        </w:rPr>
        <w:t>No Automatic Forfeiture of Vested Shares.</w:t>
      </w:r>
      <w:r>
        <w:t xml:space="preserve"> A funding default does not automatically forfeit vested shares unless a separate written agreement expressly provides otherwise and counsel confirms enforceability.</w:t>
      </w:r>
    </w:p>
    <w:p>
      <w:pPr>
        <w:pStyle w:val="Heading1"/>
      </w:pPr>
      <w:r>
        <w:t>6. No Waiver</w:t>
      </w:r>
    </w:p>
    <w:p>
      <w:r>
        <w:t>The Company's acceptance of a late payment does not waive any prior or future default unless the Company expressly waives the default in writing.</w:t>
      </w:r>
    </w:p>
    <w:p>
      <w:pPr>
        <w:pStyle w:val="Heading1"/>
      </w:pPr>
      <w:r>
        <w:t>7. Professional Responsibility</w:t>
      </w:r>
    </w:p>
    <w:p>
      <w:r>
        <w:t>The parties acknowledge that RJ is a lawyer and that the Funding Commitment may be part of a business transaction between a lawyer and client. The parties shall sign a Professional Responsibility Disclosure and Consent before or concurrently with this Agreement.</w:t>
      </w:r>
    </w:p>
    <w:p>
      <w:pPr>
        <w:pStyle w:val="Heading1"/>
      </w:pPr>
      <w:r>
        <w:t>8. Miscellaneous</w:t>
      </w:r>
    </w:p>
    <w:p>
      <w:r>
        <w:t xml:space="preserve">8.1 </w:t>
      </w:r>
      <w:r>
        <w:rPr>
          <w:b/>
        </w:rPr>
        <w:t>Governing Law.</w:t>
      </w:r>
      <w:r>
        <w:t xml:space="preserve"> This Agreement shall be governed by the laws of the State of Delaware.</w:t>
      </w:r>
    </w:p>
    <w:p>
      <w:r>
        <w:t xml:space="preserve">8.2 </w:t>
      </w:r>
      <w:r>
        <w:rPr>
          <w:b/>
        </w:rPr>
        <w:t>Amendments.</w:t>
      </w:r>
      <w:r>
        <w:t xml:space="preserve"> This Agreement may be amended only by a written instrument signed by the Company and RJ.</w:t>
      </w:r>
    </w:p>
    <w:p>
      <w:r>
        <w:t xml:space="preserve">8.3 </w:t>
      </w:r>
      <w:r>
        <w:rPr>
          <w:b/>
        </w:rPr>
        <w:t>Counterparts; Electronic Signatures.</w:t>
      </w:r>
      <w:r>
        <w:t xml:space="preserve"> This Agreement may be executed in counterparts and by electronic signature.</w:t>
      </w:r>
    </w:p>
    <w:p>
      <w:pPr>
        <w:pStyle w:val="Heading1"/>
      </w:pPr>
      <w:r>
        <w:t>Signature Page</w:t>
      </w:r>
    </w:p>
    <w:p>
      <w:pPr>
        <w:pStyle w:val="Heading2"/>
      </w:pPr>
      <w:r>
        <w:t>Company</w:t>
      </w:r>
    </w:p>
    <w:p>
      <w:r>
        <w:t>LoLo Care Inc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p>
      <w:pPr>
        <w:pStyle w:val="Heading2"/>
      </w:pPr>
      <w:r>
        <w:t>RJ</w:t>
      </w:r>
    </w:p>
    <w:p>
      <w:r>
        <w:t>__________________________________</w:t>
      </w:r>
    </w:p>
    <w:p>
      <w:r>
        <w:t>Ronald J. Antonelli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