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Governance Summary</w:t>
      </w:r>
    </w:p>
    <w:p>
      <w:r>
        <w:t>Company: [COMPANY LEGAL NAME]</w:t>
      </w:r>
    </w:p>
    <w:p>
      <w:r>
        <w:t>State of incorporation: Delaware</w:t>
      </w:r>
    </w:p>
    <w:p>
      <w:r>
        <w:t>Date: [DATE]</w:t>
      </w:r>
    </w:p>
    <w:p>
      <w:pPr>
        <w:pStyle w:val="Heading1"/>
      </w:pPr>
      <w:r>
        <w:t>Current Founder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Founder</w:t>
            </w:r>
          </w:p>
        </w:tc>
        <w:tc>
          <w:tcPr>
            <w:tcW w:type="dxa" w:w="2448"/>
          </w:tcPr>
          <w:p>
            <w:r>
              <w:t>Shares</w:t>
            </w:r>
          </w:p>
        </w:tc>
        <w:tc>
          <w:tcPr>
            <w:tcW w:type="dxa" w:w="2448"/>
          </w:tcPr>
          <w:p>
            <w:r>
              <w:t>Percent of authorized shares</w:t>
            </w:r>
          </w:p>
        </w:tc>
        <w:tc>
          <w:tcPr>
            <w:tcW w:type="dxa" w:w="2448"/>
          </w:tcPr>
          <w:p>
            <w:r>
              <w:t>Percent of issued and outstanding shares</w:t>
            </w:r>
          </w:p>
        </w:tc>
      </w:tr>
      <w:tr>
        <w:tc>
          <w:tcPr>
            <w:tcW w:type="dxa" w:w="2448"/>
          </w:tcPr>
          <w:p>
            <w:r>
              <w:t>Charles Petrini Poli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50.00%</w:t>
            </w:r>
          </w:p>
        </w:tc>
        <w:tc>
          <w:tcPr>
            <w:tcW w:type="dxa" w:w="2448"/>
          </w:tcPr>
          <w:p>
            <w:r>
              <w:t>62.50%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30.00%</w:t>
            </w:r>
          </w:p>
        </w:tc>
        <w:tc>
          <w:tcPr>
            <w:tcW w:type="dxa" w:w="2448"/>
          </w:tcPr>
          <w:p>
            <w:r>
              <w:t>37.50%</w:t>
            </w:r>
          </w:p>
        </w:tc>
      </w:tr>
    </w:tbl>
    <w:p>
      <w:r>
        <w:t>The company also has 2,000,000 authorized but unissued shares of Common Stock.</w:t>
      </w:r>
    </w:p>
    <w:p>
      <w:pPr>
        <w:pStyle w:val="Heading1"/>
      </w:pPr>
      <w:r>
        <w:t>Board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Seat</w:t>
            </w:r>
          </w:p>
        </w:tc>
        <w:tc>
          <w:tcPr>
            <w:tcW w:type="dxa" w:w="3264"/>
          </w:tcPr>
          <w:p>
            <w:r>
              <w:t>Director</w:t>
            </w:r>
          </w:p>
        </w:tc>
        <w:tc>
          <w:tcPr>
            <w:tcW w:type="dxa" w:w="3264"/>
          </w:tcPr>
          <w:p>
            <w:r>
              <w:t>Designation right</w:t>
            </w:r>
          </w:p>
        </w:tc>
      </w:tr>
      <w:tr>
        <w:tc>
          <w:tcPr>
            <w:tcW w:type="dxa" w:w="3264"/>
          </w:tcPr>
          <w:p>
            <w:r>
              <w:t>Founder Seat 1</w:t>
            </w:r>
          </w:p>
        </w:tc>
        <w:tc>
          <w:tcPr>
            <w:tcW w:type="dxa" w:w="3264"/>
          </w:tcPr>
          <w:p>
            <w:r>
              <w:t>Charles Petrini Poli</w:t>
            </w:r>
          </w:p>
        </w:tc>
        <w:tc>
          <w:tcPr>
            <w:tcW w:type="dxa" w:w="3264"/>
          </w:tcPr>
          <w:p>
            <w:r>
              <w:t>Charles Petrini Poli</w:t>
            </w:r>
          </w:p>
        </w:tc>
      </w:tr>
      <w:tr>
        <w:tc>
          <w:tcPr>
            <w:tcW w:type="dxa" w:w="3264"/>
          </w:tcPr>
          <w:p>
            <w:r>
              <w:t>Founder Seat 2</w:t>
            </w:r>
          </w:p>
        </w:tc>
        <w:tc>
          <w:tcPr>
            <w:tcW w:type="dxa" w:w="3264"/>
          </w:tcPr>
          <w:p>
            <w:r>
              <w:t>Thibaud Peverelli</w:t>
            </w:r>
          </w:p>
        </w:tc>
        <w:tc>
          <w:tcPr>
            <w:tcW w:type="dxa" w:w="3264"/>
          </w:tcPr>
          <w:p>
            <w:r>
              <w:t>Thibaud Peverelli</w:t>
            </w:r>
          </w:p>
        </w:tc>
      </w:tr>
    </w:tbl>
    <w:p>
      <w:r>
        <w:t>The board size is fixed at two directors unless changed under the bylaws and the Founder Voting and Governance Agreement.</w:t>
      </w:r>
    </w:p>
    <w:p>
      <w:pPr>
        <w:pStyle w:val="Heading1"/>
      </w:pPr>
      <w:r>
        <w:t>Board Voting</w:t>
      </w:r>
    </w:p>
    <w:p>
      <w:r>
        <w:t>For so long as the board has two directors:</w:t>
      </w:r>
    </w:p>
    <w:p>
      <w:pPr>
        <w:pStyle w:val="ListBullet"/>
      </w:pPr>
      <w:r>
        <w:t>both directors are required for quorum;</w:t>
      </w:r>
    </w:p>
    <w:p>
      <w:pPr>
        <w:pStyle w:val="ListBullet"/>
      </w:pPr>
      <w:r>
        <w:t>both directors must approve any board action;</w:t>
      </w:r>
    </w:p>
    <w:p>
      <w:pPr>
        <w:pStyle w:val="ListBullet"/>
      </w:pPr>
      <w:r>
        <w:t>action by written consent requires unanimous written consent;</w:t>
      </w:r>
    </w:p>
    <w:p>
      <w:pPr>
        <w:pStyle w:val="ListBullet"/>
      </w:pPr>
      <w:r>
        <w:t>if the directors deadlock, the disputed action does not proceed unless resolved under the Founder Voting and Governance Agreement.</w:t>
      </w:r>
    </w:p>
    <w:p>
      <w:pPr>
        <w:pStyle w:val="Heading1"/>
      </w:pPr>
      <w:r>
        <w:t>Stockholder Voting</w:t>
      </w:r>
    </w:p>
    <w:p>
      <w:r>
        <w:t>Charles and Thibaud agree to vote their shares to elect and maintain both founders as directors. This is important because Charles holds a majority of the issued and outstanding shares after the founder issuance.</w:t>
      </w:r>
    </w:p>
    <w:p>
      <w:pPr>
        <w:pStyle w:val="Heading1"/>
      </w:pPr>
      <w:r>
        <w:t>Reserved Matters</w:t>
      </w:r>
    </w:p>
    <w:p>
      <w:r>
        <w:t>Major company actions require the approval described in the Reserved Matters Schedule. These include equity issuances, option pool creation, amendments to charter or bylaws, debt, major spending, founder compensation, related-party transactions, sale of the company, major IP decisions, and dissolution.</w:t>
      </w:r>
    </w:p>
    <w:p>
      <w:pPr>
        <w:pStyle w:val="Heading1"/>
      </w:pPr>
      <w:r>
        <w:t>Ordinary-Course Authority</w:t>
      </w:r>
    </w:p>
    <w:p>
      <w:r>
        <w:t>The board may delegate ordinary-course signing, spending, banking, hiring, and operational authority to officers through the Board Approval Authority Matrix. Delegated authority does not override the Reserved Matters Schedule.</w:t>
      </w:r>
    </w:p>
    <w:p>
      <w:pPr>
        <w:pStyle w:val="Heading1"/>
      </w:pPr>
      <w:r>
        <w:t>Documents That Control</w:t>
      </w:r>
    </w:p>
    <w:p>
      <w:r>
        <w:t>If there is a conflict, the documents should generally be read in this order:</w:t>
      </w:r>
    </w:p>
    <w:p>
      <w:pPr>
        <w:pStyle w:val="ListNumber"/>
      </w:pPr>
      <w:r>
        <w:t>Certificate of incorporation.</w:t>
      </w:r>
    </w:p>
    <w:p>
      <w:pPr>
        <w:pStyle w:val="ListNumber"/>
      </w:pPr>
      <w:r>
        <w:t>Delaware law.</w:t>
      </w:r>
    </w:p>
    <w:p>
      <w:pPr>
        <w:pStyle w:val="ListNumber"/>
      </w:pPr>
      <w:r>
        <w:t>Bylaws.</w:t>
      </w:r>
    </w:p>
    <w:p>
      <w:pPr>
        <w:pStyle w:val="ListNumber"/>
      </w:pPr>
      <w:r>
        <w:t>Founder Voting and Governance Agreement.</w:t>
      </w:r>
    </w:p>
    <w:p>
      <w:pPr>
        <w:pStyle w:val="ListNumber"/>
      </w:pPr>
      <w:r>
        <w:t>Board Approval Authority Matrix and internal policies.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