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Bylaws</w:t>
      </w:r>
    </w:p>
    <w:p>
      <w:r>
        <w:t>of</w:t>
      </w:r>
    </w:p>
    <w:p>
      <w:pPr>
        <w:pStyle w:val="Title"/>
        <w:jc w:val="center"/>
      </w:pPr>
      <w:r>
        <w:t>[COMPANY LEGAL NAME]</w:t>
      </w:r>
    </w:p>
    <w:p>
      <w:r>
        <w:t>a Delaware corporation</w:t>
      </w:r>
    </w:p>
    <w:p>
      <w:r>
        <w:t>Adopted as of [DATE]</w:t>
      </w:r>
    </w:p>
    <w:p>
      <w:pPr>
        <w:pStyle w:val="Heading1"/>
      </w:pPr>
      <w:r>
        <w:t>Article I - Offices and Corporate Records</w:t>
      </w:r>
    </w:p>
    <w:p>
      <w:pPr>
        <w:pStyle w:val="Heading2"/>
      </w:pPr>
      <w:r>
        <w:t>1.1 Registered Office and Registered Agent</w:t>
      </w:r>
    </w:p>
    <w:p>
      <w:r>
        <w:t>The registered office and registered agent of [COMPANY LEGAL NAME] (the "Corporation") in the State of Delaware shall be as stated in the Corporation's certificate of incorporation or as later designated by the board of directors of the Corporation (the "Board") in accordance with applicable law.</w:t>
      </w:r>
    </w:p>
    <w:p>
      <w:pPr>
        <w:pStyle w:val="Heading2"/>
      </w:pPr>
      <w:r>
        <w:t>1.2 Principal Office and Other Offices</w:t>
      </w:r>
    </w:p>
    <w:p>
      <w:r>
        <w:t>The Corporation's principal office shall be located at [PRINCIPAL OFFICE ADDRESS], or at such other place as the Board may designate. The Corporation may maintain additional offices inside or outside the State of Delaware.</w:t>
      </w:r>
    </w:p>
    <w:p>
      <w:pPr>
        <w:pStyle w:val="Heading2"/>
      </w:pPr>
      <w:r>
        <w:t>1.3 Corporate Seal</w:t>
      </w:r>
    </w:p>
    <w:p>
      <w:r>
        <w:t>The Board may adopt a corporate seal. The use of a corporate seal is not required for any valid corporate act unless required by law.</w:t>
      </w:r>
    </w:p>
    <w:p>
      <w:pPr>
        <w:pStyle w:val="Heading2"/>
      </w:pPr>
      <w:r>
        <w:t>1.4 Corporate Records</w:t>
      </w:r>
    </w:p>
    <w:p>
      <w:r>
        <w:t>The Corporation shall maintain minutes of stockholder and Board proceedings, a stock ledger, accounting records, and such other books and records as required by the Delaware General Corporation Law (the "DGCL") and as the Board determines appropriate.</w:t>
      </w:r>
    </w:p>
    <w:p>
      <w:pPr>
        <w:pStyle w:val="Heading1"/>
      </w:pPr>
      <w:r>
        <w:t>Article II - Stockholders</w:t>
      </w:r>
    </w:p>
    <w:p>
      <w:pPr>
        <w:pStyle w:val="Heading2"/>
      </w:pPr>
      <w:r>
        <w:t>2.1 Annual Meeting</w:t>
      </w:r>
    </w:p>
    <w:p>
      <w:r>
        <w:t>An annual meeting of stockholders shall be held each year at such date, time, and place, if any, as may be designated by the Board for the election of directors and for the transaction of any other proper business.</w:t>
      </w:r>
    </w:p>
    <w:p>
      <w:pPr>
        <w:pStyle w:val="Heading2"/>
      </w:pPr>
      <w:r>
        <w:t>2.2 Special Meetings</w:t>
      </w:r>
    </w:p>
    <w:p>
      <w:r>
        <w:t>Special meetings of stockholders may be called by the Board, the Chairperson of the Board, the Chief Executive Officer, the President, or such other person or persons as may be authorized by the certificate of incorporation, these Bylaws, or the Board.</w:t>
      </w:r>
    </w:p>
    <w:p>
      <w:pPr>
        <w:pStyle w:val="Heading2"/>
      </w:pPr>
      <w:r>
        <w:t>2.3 Place of Meetings; Remote Meetings</w:t>
      </w:r>
    </w:p>
    <w:p>
      <w:r>
        <w:t>Stockholder meetings may be held at any place inside or outside the State of Delaware designated by the Board. The Board may determine that a meeting shall be held solely by means of remote communication if permitted by applicable law.</w:t>
      </w:r>
    </w:p>
    <w:p>
      <w:pPr>
        <w:pStyle w:val="Heading2"/>
      </w:pPr>
      <w:r>
        <w:t>2.4 Notice</w:t>
      </w:r>
    </w:p>
    <w:p>
      <w:r>
        <w:t>Notice of each stockholder meeting shall be given in the manner and within the time required by the DGCL, the certificate of incorporation, and these Bylaws. Notice may be given by electronic transmission to the extent permitted by law.</w:t>
      </w:r>
    </w:p>
    <w:p>
      <w:pPr>
        <w:pStyle w:val="Heading2"/>
      </w:pPr>
      <w:r>
        <w:t>2.5 Quorum</w:t>
      </w:r>
    </w:p>
    <w:p>
      <w:r>
        <w:t>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pPr>
        <w:pStyle w:val="Heading2"/>
      </w:pPr>
      <w:r>
        <w:t>2.6 Voting</w:t>
      </w:r>
    </w:p>
    <w:p>
      <w:r>
        <w:t>Except as otherwise provided by law, the certificate of incorporation, these Bylaws, or any agreement binding the applicable stockholders, each stockholder shall be entitled to one vote for each share of stock entitled to vote and held by such stockholder.</w:t>
      </w:r>
    </w:p>
    <w:p>
      <w:pPr>
        <w:pStyle w:val="Heading2"/>
      </w:pPr>
      <w:r>
        <w:t>2.7 Action by Written Consent</w:t>
      </w:r>
    </w:p>
    <w:p>
      <w:r>
        <w:t>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pPr>
        <w:pStyle w:val="Heading2"/>
      </w:pPr>
      <w:r>
        <w:t>2.8 Proxies</w:t>
      </w:r>
    </w:p>
    <w:p>
      <w:r>
        <w:t>Each stockholder entitled to vote may authorize another person or persons to act for such stockholder by proxy in the manner permitted by law.</w:t>
      </w:r>
    </w:p>
    <w:p>
      <w:pPr>
        <w:pStyle w:val="Heading2"/>
      </w:pPr>
      <w:r>
        <w:t>2.9 Record Date</w:t>
      </w:r>
    </w:p>
    <w:p>
      <w:r>
        <w:t>The Board may fix a record date for determining stockholders entitled to notice of, or to vote at, any meeting, to consent to corporate action without a meeting, to receive payment of any dividend or distribution, or for any other lawful purpose.</w:t>
      </w:r>
    </w:p>
    <w:p>
      <w:pPr>
        <w:pStyle w:val="Heading1"/>
      </w:pPr>
      <w:r>
        <w:t>Article III - Board of Directors</w:t>
      </w:r>
    </w:p>
    <w:p>
      <w:pPr>
        <w:pStyle w:val="Heading2"/>
      </w:pPr>
      <w:r>
        <w:t>3.1 General Powers</w:t>
      </w:r>
    </w:p>
    <w:p>
      <w:r>
        <w:t>The business and affairs of the Corporation shall be managed by or under the direction of the Board, except as otherwise provided by the DGCL or the certificate of incorporation.</w:t>
      </w:r>
    </w:p>
    <w:p>
      <w:pPr>
        <w:pStyle w:val="Heading2"/>
      </w:pPr>
      <w:r>
        <w:t>3.2 Number of Directors</w:t>
      </w:r>
    </w:p>
    <w:p>
      <w:r>
        <w:t>The number of directors constituting the Board is fixed at two. The initial two director seats are intended to be held by Charles Petrini Poli and Thibaud Peverelli as elected or confirmed by the incorporator, the stockholders, or the Board, as applicable.</w:t>
      </w:r>
    </w:p>
    <w:p>
      <w:pPr>
        <w:pStyle w:val="Heading2"/>
      </w:pPr>
      <w:r>
        <w:t>3.3 Election and Term</w:t>
      </w:r>
    </w:p>
    <w:p>
      <w:r>
        <w:t>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pPr>
        <w:pStyle w:val="Heading2"/>
      </w:pPr>
      <w:r>
        <w:t>3.4 Resignation</w:t>
      </w:r>
    </w:p>
    <w:p>
      <w:r>
        <w:t>Any director may resign at any time by giving notice in writing or by electronic transmission to the Corporation. A resignation is effective when delivered unless it specifies a later effective date or an effective date determined upon the happening of an event.</w:t>
      </w:r>
    </w:p>
    <w:p>
      <w:pPr>
        <w:pStyle w:val="Heading2"/>
      </w:pPr>
      <w:r>
        <w:t>3.5 Removal</w:t>
      </w:r>
    </w:p>
    <w:p>
      <w:r>
        <w:t>Directors may be removed in the manner permitted by the DGCL, the certificate of incorporation, these Bylaws, and any voting or governance agreement binding the applicable stockholders.</w:t>
      </w:r>
    </w:p>
    <w:p>
      <w:pPr>
        <w:pStyle w:val="Heading2"/>
      </w:pPr>
      <w:r>
        <w:t>3.6 Vacancies</w:t>
      </w:r>
    </w:p>
    <w:p>
      <w:r>
        <w:t>Vacancies and newly created directorships may be filled as provided by the DGCL, the certificate of incorporation, these Bylaws, and any voting or governance agreement binding the applicable stockholders.</w:t>
      </w:r>
    </w:p>
    <w:p>
      <w:pPr>
        <w:pStyle w:val="Heading2"/>
      </w:pPr>
      <w:r>
        <w:t>3.7 Regular Meetings</w:t>
      </w:r>
    </w:p>
    <w:p>
      <w:r>
        <w:t>Regular meetings of the Board may be held at such times and places, if any, as the Board may determine. Regular meetings may be held without notice if the time and place have been fixed by the Board.</w:t>
      </w:r>
    </w:p>
    <w:p>
      <w:pPr>
        <w:pStyle w:val="Heading2"/>
      </w:pPr>
      <w:r>
        <w:t>3.8 Special Meetings</w:t>
      </w:r>
    </w:p>
    <w:p>
      <w:r>
        <w:t>Special meetings of the Board may be called by any director, the Chairperson of the Board, the Chief Executive Officer, the President, or the Secretary. Notice of a special meeting shall be given at least 48 hours before the meeting unless notice is waived.</w:t>
      </w:r>
    </w:p>
    <w:p>
      <w:pPr>
        <w:pStyle w:val="Heading2"/>
      </w:pPr>
      <w:r>
        <w:t>3.9 Remote Participation</w:t>
      </w:r>
    </w:p>
    <w:p>
      <w:r>
        <w:t>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pPr>
        <w:pStyle w:val="Heading2"/>
      </w:pPr>
      <w:r>
        <w:t>3.10 Quorum</w:t>
      </w:r>
    </w:p>
    <w:p>
      <w:r>
        <w:t>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pPr>
        <w:pStyle w:val="Heading2"/>
      </w:pPr>
      <w:r>
        <w:t>3.11 Board Action</w:t>
      </w:r>
    </w:p>
    <w:p>
      <w:r>
        <w:t>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pPr>
        <w:pStyle w:val="Heading2"/>
      </w:pPr>
      <w:r>
        <w:t>3.12 Action Without a Meeting</w:t>
      </w:r>
    </w:p>
    <w:p>
      <w:r>
        <w:t>Any action required or permitted to be taken at a Board meeting may be taken without a meeting if all members of the Board consent to the action in writing or by electronic transmission and the consent is filed with the minutes of proceedings of the Board.</w:t>
      </w:r>
    </w:p>
    <w:p>
      <w:pPr>
        <w:pStyle w:val="Heading2"/>
      </w:pPr>
      <w:r>
        <w:t>3.13 Waiver of Notice</w:t>
      </w:r>
    </w:p>
    <w:p>
      <w:r>
        <w:t>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pPr>
        <w:pStyle w:val="Heading2"/>
      </w:pPr>
      <w:r>
        <w:t>3.14 Committees</w:t>
      </w:r>
    </w:p>
    <w:p>
      <w:r>
        <w:t>The Board may designate committees to the extent permitted by law. No committee may approve any action that these Bylaws, the DGCL, the certificate of incorporation, or an applicable governance agreement requires to be approved by the full Board or by stockholders.</w:t>
      </w:r>
    </w:p>
    <w:p>
      <w:pPr>
        <w:pStyle w:val="Heading2"/>
      </w:pPr>
      <w:r>
        <w:t>3.15 Compensation</w:t>
      </w:r>
    </w:p>
    <w:p>
      <w:r>
        <w:t>Directors may receive compensation for service as directors if approved by the Board and permitted by applicable law and any applicable governance agreement. Directors may also be reimbursed for reasonable expenses incurred in connection with their service.</w:t>
      </w:r>
    </w:p>
    <w:p>
      <w:pPr>
        <w:pStyle w:val="Heading2"/>
      </w:pPr>
      <w:r>
        <w:t>3.16 Deadlock</w:t>
      </w:r>
    </w:p>
    <w:p>
      <w:r>
        <w:t>If the two directors do not both approve a proposed Board action, the proposed action shall not be approved. Any deadlock may be addressed under the deadlock process, if any, contained in an applicable founder voting, stockholder, or governance agreement.</w:t>
      </w:r>
    </w:p>
    <w:p>
      <w:pPr>
        <w:pStyle w:val="Heading1"/>
      </w:pPr>
      <w:r>
        <w:t>Article IV - Officers</w:t>
      </w:r>
    </w:p>
    <w:p>
      <w:pPr>
        <w:pStyle w:val="Heading2"/>
      </w:pPr>
      <w:r>
        <w:t>4.1 Officers</w:t>
      </w:r>
    </w:p>
    <w:p>
      <w:r>
        <w:t>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pPr>
        <w:pStyle w:val="Heading2"/>
      </w:pPr>
      <w:r>
        <w:t>4.2 Appointment and Term</w:t>
      </w:r>
    </w:p>
    <w:p>
      <w:r>
        <w:t>Officers shall be appointed by the Board and shall serve until their successors are appointed and qualified or until their earlier resignation or removal.</w:t>
      </w:r>
    </w:p>
    <w:p>
      <w:pPr>
        <w:pStyle w:val="Heading2"/>
      </w:pPr>
      <w:r>
        <w:t>4.3 Removal</w:t>
      </w:r>
    </w:p>
    <w:p>
      <w:r>
        <w:t>Any officer may be removed by the Board at any time, with or without cause, subject to any contractual rights of the officer and any applicable governance agreement.</w:t>
      </w:r>
    </w:p>
    <w:p>
      <w:pPr>
        <w:pStyle w:val="Heading2"/>
      </w:pPr>
      <w:r>
        <w:t>4.4 Chief Executive Officer; President</w:t>
      </w:r>
    </w:p>
    <w:p>
      <w:r>
        <w:t>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pPr>
        <w:pStyle w:val="Heading2"/>
      </w:pPr>
      <w:r>
        <w:t>4.5 Secretary</w:t>
      </w:r>
    </w:p>
    <w:p>
      <w:r>
        <w:t>The Secretary shall keep or cause to be kept minutes of stockholder and Board proceedings, maintain the corporate records and stock ledger, give notices as required, and perform such other duties as may be prescribed by the Board.</w:t>
      </w:r>
    </w:p>
    <w:p>
      <w:pPr>
        <w:pStyle w:val="Heading2"/>
      </w:pPr>
      <w:r>
        <w:t>4.6 Treasurer; Chief Financial Officer</w:t>
      </w:r>
    </w:p>
    <w:p>
      <w:r>
        <w:t>The Treasurer or Chief Financial Officer shall have responsibility for the Corporation's funds, books of account, payment records, budgets, financial reporting, and such other duties as may be prescribed by the Board.</w:t>
      </w:r>
    </w:p>
    <w:p>
      <w:pPr>
        <w:pStyle w:val="Heading2"/>
      </w:pPr>
      <w:r>
        <w:t>4.7 Delegation of Authority</w:t>
      </w:r>
    </w:p>
    <w:p>
      <w:r>
        <w:t>The Board may delegate authority to officers, employees, agents, or advisors by resolution or through an approval authority matrix. Delegated authority shall not permit any person to approve a reserved matter unless the reserved matter has been approved as required.</w:t>
      </w:r>
    </w:p>
    <w:p>
      <w:pPr>
        <w:pStyle w:val="Heading1"/>
      </w:pPr>
      <w:r>
        <w:t>Article V - Shares and Stock Ledger</w:t>
      </w:r>
    </w:p>
    <w:p>
      <w:pPr>
        <w:pStyle w:val="Heading2"/>
      </w:pPr>
      <w:r>
        <w:t>5.1 Authorized Shares</w:t>
      </w:r>
    </w:p>
    <w:p>
      <w:r>
        <w:t>The Corporation may issue shares only as authorized by the certificate of incorporation and approved by the Board in accordance with applicable law.</w:t>
      </w:r>
    </w:p>
    <w:p>
      <w:pPr>
        <w:pStyle w:val="Heading2"/>
      </w:pPr>
      <w:r>
        <w:t>5.2 Certificates and Uncertificated Shares</w:t>
      </w:r>
    </w:p>
    <w:p>
      <w:r>
        <w:t>Shares may be represented by certificates or may be uncertificated, as determined by the Board. The Corporation shall provide notices and legends required by law or by agreement for certificated or uncertificated shares.</w:t>
      </w:r>
    </w:p>
    <w:p>
      <w:pPr>
        <w:pStyle w:val="Heading2"/>
      </w:pPr>
      <w:r>
        <w:t>5.3 Stock Ledger</w:t>
      </w:r>
    </w:p>
    <w:p>
      <w:r>
        <w:t>The Corporation shall maintain a stock ledger that records the names and addresses of stockholders of record, the number and class of shares held by each stockholder, and all issuances and transfers of stock.</w:t>
      </w:r>
    </w:p>
    <w:p>
      <w:pPr>
        <w:pStyle w:val="Heading2"/>
      </w:pPr>
      <w:r>
        <w:t>5.4 Transfers</w:t>
      </w:r>
    </w:p>
    <w:p>
      <w:r>
        <w:t>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pPr>
        <w:pStyle w:val="Heading2"/>
      </w:pPr>
      <w:r>
        <w:t>5.5 No Preemptive Rights</w:t>
      </w:r>
    </w:p>
    <w:p>
      <w:r>
        <w:t>No stockholder shall have preemptive rights unless such rights are expressly provided in the certificate of incorporation or in a written agreement approved by the Corporation.</w:t>
      </w:r>
    </w:p>
    <w:p>
      <w:pPr>
        <w:pStyle w:val="Heading1"/>
      </w:pPr>
      <w:r>
        <w:t>Article VI - Indemnification and Advancement</w:t>
      </w:r>
    </w:p>
    <w:p>
      <w:pPr>
        <w:pStyle w:val="Heading2"/>
      </w:pPr>
      <w:r>
        <w:t>6.1 Indemnification</w:t>
      </w:r>
    </w:p>
    <w:p>
      <w:r>
        <w:t>The Corporation shall indemnify its directors and officers to the fullest extent permitted by the DGCL. The Corporation may indemnify employees and agents to the extent authorized by the Board and permitted by law.</w:t>
      </w:r>
    </w:p>
    <w:p>
      <w:pPr>
        <w:pStyle w:val="Heading2"/>
      </w:pPr>
      <w:r>
        <w:t>6.2 Advancement of Expenses</w:t>
      </w:r>
    </w:p>
    <w:p>
      <w:r>
        <w:t>The Corporation shall advance expenses to directors and officers to the fullest extent permitted by law, subject to receipt of any undertaking required by the DGCL.</w:t>
      </w:r>
    </w:p>
    <w:p>
      <w:pPr>
        <w:pStyle w:val="Heading2"/>
      </w:pPr>
      <w:r>
        <w:t>6.3 Non-Exclusivity</w:t>
      </w:r>
    </w:p>
    <w:p>
      <w:r>
        <w:t>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pPr>
        <w:pStyle w:val="Heading1"/>
      </w:pPr>
      <w:r>
        <w:t>Article VII - Finance, Contracts, and Execution Authority</w:t>
      </w:r>
    </w:p>
    <w:p>
      <w:pPr>
        <w:pStyle w:val="Heading2"/>
      </w:pPr>
      <w:r>
        <w:t>7.1 Fiscal Year</w:t>
      </w:r>
    </w:p>
    <w:p>
      <w:r>
        <w:t>The fiscal year of the Corporation shall be determined by the Board.</w:t>
      </w:r>
    </w:p>
    <w:p>
      <w:pPr>
        <w:pStyle w:val="Heading2"/>
      </w:pPr>
      <w:r>
        <w:t>7.2 Bank Accounts</w:t>
      </w:r>
    </w:p>
    <w:p>
      <w:r>
        <w:t>The Corporation's funds shall be deposited in such bank or other accounts as the Board may approve. The Board may authorize officers or agents to open accounts and sign payment instructions, subject to any approval authority matrix and reserved matters schedule.</w:t>
      </w:r>
    </w:p>
    <w:p>
      <w:pPr>
        <w:pStyle w:val="Heading2"/>
      </w:pPr>
      <w:r>
        <w:t>7.3 Contracts</w:t>
      </w:r>
    </w:p>
    <w:p>
      <w:r>
        <w:t>Officers may execute contracts and instruments on behalf of the Corporation as authorized by the Board, these Bylaws, an approval authority matrix, or other valid delegation of authority.</w:t>
      </w:r>
    </w:p>
    <w:p>
      <w:pPr>
        <w:pStyle w:val="Heading2"/>
      </w:pPr>
      <w:r>
        <w:t>7.4 Dividends and Distributions</w:t>
      </w:r>
    </w:p>
    <w:p>
      <w:r>
        <w:t>Dividends and distributions may be declared and paid only as approved by the Board and permitted by the DGCL, the certificate of incorporation, these Bylaws, and any applicable agreement.</w:t>
      </w:r>
    </w:p>
    <w:p>
      <w:pPr>
        <w:pStyle w:val="Heading1"/>
      </w:pPr>
      <w:r>
        <w:t>Article VIII - Governance Agreements and Reserved Matters</w:t>
      </w:r>
    </w:p>
    <w:p>
      <w:pPr>
        <w:pStyle w:val="Heading2"/>
      </w:pPr>
      <w:r>
        <w:t>8.1 Governance Agreements</w:t>
      </w:r>
    </w:p>
    <w:p>
      <w:r>
        <w:t>The Corporation may enter into voting, stockholder, governance, investor rights, or similar agreements with stockholders or other persons to the extent approved by the Board and permitted by applicable law.</w:t>
      </w:r>
    </w:p>
    <w:p>
      <w:pPr>
        <w:pStyle w:val="Heading2"/>
      </w:pPr>
      <w:r>
        <w:t>8.2 Reserved Matters</w:t>
      </w:r>
    </w:p>
    <w:p>
      <w:r>
        <w:t>The Board may adopt a reserved matters schedule requiring specified approval for major corporate actions. No officer, employee, agent, committee, or other person may take any reserved matter action unless the required approval has been obtained.</w:t>
      </w:r>
    </w:p>
    <w:p>
      <w:pPr>
        <w:pStyle w:val="Heading2"/>
      </w:pPr>
      <w:r>
        <w:t>8.3 Conflicts</w:t>
      </w:r>
    </w:p>
    <w:p>
      <w:r>
        <w:t>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pPr>
        <w:pStyle w:val="Heading1"/>
      </w:pPr>
      <w:r>
        <w:t>Article IX - Amendments</w:t>
      </w:r>
    </w:p>
    <w:p>
      <w:pPr>
        <w:pStyle w:val="Heading2"/>
      </w:pPr>
      <w:r>
        <w:t>9.1 Stockholder Amendments</w:t>
      </w:r>
    </w:p>
    <w:p>
      <w:r>
        <w:t>These Bylaws may be amended or repealed, and new bylaws may be adopted, by the stockholders entitled to vote, subject to the certificate of incorporation and any applicable governance agreement.</w:t>
      </w:r>
    </w:p>
    <w:p>
      <w:pPr>
        <w:pStyle w:val="Heading2"/>
      </w:pPr>
      <w:r>
        <w:t>9.2 Board Amendments</w:t>
      </w:r>
    </w:p>
    <w:p>
      <w:r>
        <w:t>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pPr>
        <w:pStyle w:val="Heading1"/>
      </w:pPr>
      <w:r>
        <w:t>Certification</w:t>
      </w:r>
    </w:p>
    <w:p>
      <w:r>
        <w:t>The undersigned certifies that these Bylaws were duly adopted as the bylaws of the Corporation as of the date first written above.</w:t>
      </w:r>
    </w:p>
    <w:p>
      <w:r>
        <w:t>[COMPANY LEGAL NAME]</w:t>
      </w:r>
    </w:p>
    <w:p>
      <w:r>
        <w:t>By: ______________________________</w:t>
      </w:r>
    </w:p>
    <w:p>
      <w:r>
        <w:t>Name: ____________________________</w:t>
      </w:r>
    </w:p>
    <w:p>
      <w:r>
        <w:t>Title: Secretary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