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Board Approval Authority Matrix</w:t>
      </w:r>
    </w:p>
    <w:p>
      <w:r>
        <w:t>Company: [COMPANY LEGAL NAME]</w:t>
      </w:r>
    </w:p>
    <w:p>
      <w:r>
        <w:t>Adopted: [DATE]</w:t>
      </w:r>
    </w:p>
    <w:p>
      <w:r>
        <w:t>This Board Approval Authority Matrix delegates ordinary-course authority to officers and team members. It does not override the certificate of incorporation, bylaws, Founder Voting and Governance Agreement, Reserved Matters Schedule, or any Board resolution.</w:t>
      </w:r>
    </w:p>
    <w:p>
      <w:pPr>
        <w:pStyle w:val="Heading1"/>
      </w:pPr>
      <w:r>
        <w:t>General Rule</w:t>
      </w:r>
    </w:p>
    <w:p>
      <w:r>
        <w:t>Any action listed in the Reserved Matters Schedule requires the approval stated in that schedule, even if the action would otherwise fall within a threshold below.</w:t>
      </w:r>
    </w:p>
    <w:p>
      <w:pPr>
        <w:pStyle w:val="Heading1"/>
      </w:pPr>
      <w:r>
        <w:t>Authority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Action</w:t>
            </w:r>
          </w:p>
        </w:tc>
        <w:tc>
          <w:tcPr>
            <w:tcW w:type="dxa" w:w="3264"/>
          </w:tcPr>
          <w:p>
            <w:r>
              <w:t>Officer authority</w:t>
            </w:r>
          </w:p>
        </w:tc>
        <w:tc>
          <w:tcPr>
            <w:tcW w:type="dxa" w:w="3264"/>
          </w:tcPr>
          <w:p>
            <w:r>
              <w:t>Board approval required</w:t>
            </w:r>
          </w:p>
        </w:tc>
      </w:tr>
      <w:tr>
        <w:tc>
          <w:tcPr>
            <w:tcW w:type="dxa" w:w="3264"/>
          </w:tcPr>
          <w:p>
            <w:r>
              <w:t>Ordinary-course budgeted expense</w:t>
            </w:r>
          </w:p>
        </w:tc>
        <w:tc>
          <w:tcPr>
            <w:tcW w:type="dxa" w:w="3264"/>
          </w:tcPr>
          <w:p>
            <w:r>
              <w:t>CEO/President up to $[AMOUNT] per transaction</w:t>
            </w:r>
          </w:p>
        </w:tc>
        <w:tc>
          <w:tcPr>
            <w:tcW w:type="dxa" w:w="3264"/>
          </w:tcPr>
          <w:p>
            <w:r>
              <w:t>Above $[AMOUNT] or outside approved budget</w:t>
            </w:r>
          </w:p>
        </w:tc>
      </w:tr>
      <w:tr>
        <w:tc>
          <w:tcPr>
            <w:tcW w:type="dxa" w:w="3264"/>
          </w:tcPr>
          <w:p>
            <w:r>
              <w:t>Vendor contract</w:t>
            </w:r>
          </w:p>
        </w:tc>
        <w:tc>
          <w:tcPr>
            <w:tcW w:type="dxa" w:w="3264"/>
          </w:tcPr>
          <w:p>
            <w:r>
              <w:t>CEO/President up to $[AMOUNT] total value and term up to [TERM]</w:t>
            </w:r>
          </w:p>
        </w:tc>
        <w:tc>
          <w:tcPr>
            <w:tcW w:type="dxa" w:w="3264"/>
          </w:tcPr>
          <w:p>
            <w:r>
              <w:t>Above $[AMOUNT], longer than [TERM], exclusive, strategic, or outside ordinary course</w:t>
            </w:r>
          </w:p>
        </w:tc>
      </w:tr>
      <w:tr>
        <w:tc>
          <w:tcPr>
            <w:tcW w:type="dxa" w:w="3264"/>
          </w:tcPr>
          <w:p>
            <w:r>
              <w:t>Customer contract</w:t>
            </w:r>
          </w:p>
        </w:tc>
        <w:tc>
          <w:tcPr>
            <w:tcW w:type="dxa" w:w="3264"/>
          </w:tcPr>
          <w:p>
            <w:r>
              <w:t>CEO/President within standard form and ordinary course</w:t>
            </w:r>
          </w:p>
        </w:tc>
        <w:tc>
          <w:tcPr>
            <w:tcW w:type="dxa" w:w="3264"/>
          </w:tcPr>
          <w:p>
            <w:r>
              <w:t>Non-standard liability, exclusivity, IP assignment, most-favored-customer terms, or above $[AMOUNT]</w:t>
            </w:r>
          </w:p>
        </w:tc>
      </w:tr>
      <w:tr>
        <w:tc>
          <w:tcPr>
            <w:tcW w:type="dxa" w:w="3264"/>
          </w:tcPr>
          <w:p>
            <w:r>
              <w:t>Employee or contractor hire</w:t>
            </w:r>
          </w:p>
        </w:tc>
        <w:tc>
          <w:tcPr>
            <w:tcW w:type="dxa" w:w="3264"/>
          </w:tcPr>
          <w:p>
            <w:r>
              <w:t>CEO/President up to $[AMOUNT] annual compensation</w:t>
            </w:r>
          </w:p>
        </w:tc>
        <w:tc>
          <w:tcPr>
            <w:tcW w:type="dxa" w:w="3264"/>
          </w:tcPr>
          <w:p>
            <w:r>
              <w:t>Founder, executive, or compensation above $[AMOUNT]</w:t>
            </w:r>
          </w:p>
        </w:tc>
      </w:tr>
      <w:tr>
        <w:tc>
          <w:tcPr>
            <w:tcW w:type="dxa" w:w="3264"/>
          </w:tcPr>
          <w:p>
            <w:r>
              <w:t>Payroll and benefits</w:t>
            </w:r>
          </w:p>
        </w:tc>
        <w:tc>
          <w:tcPr>
            <w:tcW w:type="dxa" w:w="3264"/>
          </w:tcPr>
          <w:p>
            <w:r>
              <w:t>Treasurer/CFO within approved budget</w:t>
            </w:r>
          </w:p>
        </w:tc>
        <w:tc>
          <w:tcPr>
            <w:tcW w:type="dxa" w:w="3264"/>
          </w:tcPr>
          <w:p>
            <w:r>
              <w:t>New plans, material changes, founder compensation, or outside budget</w:t>
            </w:r>
          </w:p>
        </w:tc>
      </w:tr>
      <w:tr>
        <w:tc>
          <w:tcPr>
            <w:tcW w:type="dxa" w:w="3264"/>
          </w:tcPr>
          <w:p>
            <w:r>
              <w:t>Expense reimbursement</w:t>
            </w:r>
          </w:p>
        </w:tc>
        <w:tc>
          <w:tcPr>
            <w:tcW w:type="dxa" w:w="3264"/>
          </w:tcPr>
          <w:p>
            <w:r>
              <w:t>Treasurer/CFO within approved policy</w:t>
            </w:r>
          </w:p>
        </w:tc>
        <w:tc>
          <w:tcPr>
            <w:tcW w:type="dxa" w:w="3264"/>
          </w:tcPr>
          <w:p>
            <w:r>
              <w:t>Founder/director expenses outside policy or above $[AMOUNT]</w:t>
            </w:r>
          </w:p>
        </w:tc>
      </w:tr>
      <w:tr>
        <w:tc>
          <w:tcPr>
            <w:tcW w:type="dxa" w:w="3264"/>
          </w:tcPr>
          <w:p>
            <w:r>
              <w:t>Bank account opening/closing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Bank signer change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Debt or loan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Always, except trade payables in ordinary course</w:t>
            </w:r>
          </w:p>
        </w:tc>
      </w:tr>
      <w:tr>
        <w:tc>
          <w:tcPr>
            <w:tcW w:type="dxa" w:w="3264"/>
          </w:tcPr>
          <w:p>
            <w:r>
              <w:t>Equity issuance or option grant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IP sale, transfer, or exclusive license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Litigation settlement</w:t>
            </w:r>
          </w:p>
        </w:tc>
        <w:tc>
          <w:tcPr>
            <w:tcW w:type="dxa" w:w="3264"/>
          </w:tcPr>
          <w:p>
            <w:r>
              <w:t>CEO/President up to $[AMOUNT] if no non-monetary restriction</w:t>
            </w:r>
          </w:p>
        </w:tc>
        <w:tc>
          <w:tcPr>
            <w:tcW w:type="dxa" w:w="3264"/>
          </w:tcPr>
          <w:p>
            <w:r>
              <w:t>Above $[AMOUNT] or any material non-monetary restriction</w:t>
            </w:r>
          </w:p>
        </w:tc>
      </w:tr>
      <w:tr>
        <w:tc>
          <w:tcPr>
            <w:tcW w:type="dxa" w:w="3264"/>
          </w:tcPr>
          <w:p>
            <w:r>
              <w:t>Tax filings</w:t>
            </w:r>
          </w:p>
        </w:tc>
        <w:tc>
          <w:tcPr>
            <w:tcW w:type="dxa" w:w="3264"/>
          </w:tcPr>
          <w:p>
            <w:r>
              <w:t>Treasurer/CFO ordinary-course filings</w:t>
            </w:r>
          </w:p>
        </w:tc>
        <w:tc>
          <w:tcPr>
            <w:tcW w:type="dxa" w:w="3264"/>
          </w:tcPr>
          <w:p>
            <w:r>
              <w:t>Material tax elections or positions outside ordinary course</w:t>
            </w:r>
          </w:p>
        </w:tc>
      </w:tr>
      <w:tr>
        <w:tc>
          <w:tcPr>
            <w:tcW w:type="dxa" w:w="3264"/>
          </w:tcPr>
          <w:p>
            <w:r>
              <w:t>Insurance</w:t>
            </w:r>
          </w:p>
        </w:tc>
        <w:tc>
          <w:tcPr>
            <w:tcW w:type="dxa" w:w="3264"/>
          </w:tcPr>
          <w:p>
            <w:r>
              <w:t>CEO/President ordinary-course renewals within budget</w:t>
            </w:r>
          </w:p>
        </w:tc>
        <w:tc>
          <w:tcPr>
            <w:tcW w:type="dxa" w:w="3264"/>
          </w:tcPr>
          <w:p>
            <w:r>
              <w:t>New material policies, D&amp;O policy, or material changes</w:t>
            </w:r>
          </w:p>
        </w:tc>
      </w:tr>
    </w:tbl>
    <w:p>
      <w:pPr>
        <w:pStyle w:val="Heading1"/>
      </w:pPr>
      <w:r>
        <w:t>Signature Authority</w:t>
      </w:r>
    </w:p>
    <w:p>
      <w:r>
        <w:t>Subject to this matrix and the Reserved Matters Schedule, the following officers may sign agreements and instruments on behalf of the Company: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Officer</w:t>
            </w:r>
          </w:p>
        </w:tc>
        <w:tc>
          <w:tcPr>
            <w:tcW w:type="dxa" w:w="4896"/>
          </w:tcPr>
          <w:p>
            <w:r>
              <w:t>Authority</w:t>
            </w:r>
          </w:p>
        </w:tc>
      </w:tr>
      <w:tr>
        <w:tc>
          <w:tcPr>
            <w:tcW w:type="dxa" w:w="4896"/>
          </w:tcPr>
          <w:p>
            <w:r>
              <w:t>Chief Executive Officer</w:t>
            </w:r>
          </w:p>
        </w:tc>
        <w:tc>
          <w:tcPr>
            <w:tcW w:type="dxa" w:w="4896"/>
          </w:tcPr>
          <w:p>
            <w:r>
              <w:t>Ordinary-course contracts and company operations within approved authority</w:t>
            </w:r>
          </w:p>
        </w:tc>
      </w:tr>
      <w:tr>
        <w:tc>
          <w:tcPr>
            <w:tcW w:type="dxa" w:w="4896"/>
          </w:tcPr>
          <w:p>
            <w:r>
              <w:t>President</w:t>
            </w:r>
          </w:p>
        </w:tc>
        <w:tc>
          <w:tcPr>
            <w:tcW w:type="dxa" w:w="4896"/>
          </w:tcPr>
          <w:p>
            <w:r>
              <w:t>Ordinary-course contracts and company operations within approved authority</w:t>
            </w:r>
          </w:p>
        </w:tc>
      </w:tr>
      <w:tr>
        <w:tc>
          <w:tcPr>
            <w:tcW w:type="dxa" w:w="4896"/>
          </w:tcPr>
          <w:p>
            <w:r>
              <w:t>Treasurer / CFO</w:t>
            </w:r>
          </w:p>
        </w:tc>
        <w:tc>
          <w:tcPr>
            <w:tcW w:type="dxa" w:w="4896"/>
          </w:tcPr>
          <w:p>
            <w:r>
              <w:t>Banking, payment, accounting, tax, and finance matters within approved authority</w:t>
            </w:r>
          </w:p>
        </w:tc>
      </w:tr>
      <w:tr>
        <w:tc>
          <w:tcPr>
            <w:tcW w:type="dxa" w:w="4896"/>
          </w:tcPr>
          <w:p>
            <w:r>
              <w:t>Secretary</w:t>
            </w:r>
          </w:p>
        </w:tc>
        <w:tc>
          <w:tcPr>
            <w:tcW w:type="dxa" w:w="4896"/>
          </w:tcPr>
          <w:p>
            <w:r>
              <w:t>Corporate records, notices, minutes, stock ledger, certificates, and consents</w:t>
            </w:r>
          </w:p>
        </w:tc>
      </w:tr>
    </w:tbl>
    <w:p>
      <w:pPr>
        <w:pStyle w:val="Heading1"/>
      </w:pPr>
      <w:r>
        <w:t>Emergency Actions</w:t>
      </w:r>
    </w:p>
    <w:p>
      <w:r>
        <w:t>If urgent action is required to prevent material harm to the Company and Board approval cannot reasonably be obtained in time, an officer may take reasonable temporary action within ordinary-course authority and must notify both directors as soon as practicable. Emergency authority does not permit equity issuances, debt, sale of material assets, IP transfers, founder compensation changes, related-party transactions, or other reserved matters unless required by law to prevent immediate and material harm.</w:t>
      </w:r>
    </w:p>
    <w:p>
      <w:pPr>
        <w:pStyle w:val="Heading1"/>
      </w:pPr>
      <w:r>
        <w:t>Amendments</w:t>
      </w:r>
    </w:p>
    <w:p>
      <w:r>
        <w:t>This matrix may be amended only by Board approval and any additional approval required by the Founder Voting and Governance Agreement or Reserved Matters Schedule.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