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Initial Cap Table</w:t>
      </w:r>
    </w:p>
    <w:p>
      <w:r>
        <w:t>Company: [COMPANY LEGAL NAME]</w:t>
      </w:r>
    </w:p>
    <w:p>
      <w:r>
        <w:t>State of incorporation: Delaware</w:t>
      </w:r>
    </w:p>
    <w:p>
      <w:r>
        <w:t>Date: [DATE]</w:t>
      </w:r>
    </w:p>
    <w:p>
      <w:pPr>
        <w:pStyle w:val="Heading1"/>
      </w:pPr>
      <w:r>
        <w:t>Authorized Capitalization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Holder / category</w:t>
            </w:r>
          </w:p>
        </w:tc>
        <w:tc>
          <w:tcPr>
            <w:tcW w:type="dxa" w:w="1958"/>
          </w:tcPr>
          <w:p>
            <w:r>
              <w:t>Class</w:t>
            </w:r>
          </w:p>
        </w:tc>
        <w:tc>
          <w:tcPr>
            <w:tcW w:type="dxa" w:w="1958"/>
          </w:tcPr>
          <w:p>
            <w:r>
              <w:t>Shares</w:t>
            </w:r>
          </w:p>
        </w:tc>
        <w:tc>
          <w:tcPr>
            <w:tcW w:type="dxa" w:w="1958"/>
          </w:tcPr>
          <w:p>
            <w:r>
              <w:t>Status</w:t>
            </w:r>
          </w:p>
        </w:tc>
        <w:tc>
          <w:tcPr>
            <w:tcW w:type="dxa" w:w="1958"/>
          </w:tcPr>
          <w:p>
            <w:r>
              <w:t>Percent of authorized shares</w:t>
            </w:r>
          </w:p>
        </w:tc>
      </w:tr>
      <w:tr>
        <w:tc>
          <w:tcPr>
            <w:tcW w:type="dxa" w:w="1958"/>
          </w:tcPr>
          <w:p>
            <w:r>
              <w:t>Charles Petrini Poli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5,000,000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50.00%</w:t>
            </w:r>
          </w:p>
        </w:tc>
      </w:tr>
      <w:tr>
        <w:tc>
          <w:tcPr>
            <w:tcW w:type="dxa" w:w="1958"/>
          </w:tcPr>
          <w:p>
            <w:r>
              <w:t>Thibaud Peverelli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3,000,000</w:t>
            </w:r>
          </w:p>
        </w:tc>
        <w:tc>
          <w:tcPr>
            <w:tcW w:type="dxa" w:w="1958"/>
          </w:tcPr>
          <w:p>
            <w:r>
              <w:t>Issued founder shares</w:t>
            </w:r>
          </w:p>
        </w:tc>
        <w:tc>
          <w:tcPr>
            <w:tcW w:type="dxa" w:w="1958"/>
          </w:tcPr>
          <w:p>
            <w:r>
              <w:t>30.00%</w:t>
            </w:r>
          </w:p>
        </w:tc>
      </w:tr>
      <w:tr>
        <w:tc>
          <w:tcPr>
            <w:tcW w:type="dxa" w:w="1958"/>
          </w:tcPr>
          <w:p>
            <w:r>
              <w:t>Unassigned / company reserve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2,000,000</w:t>
            </w:r>
          </w:p>
        </w:tc>
        <w:tc>
          <w:tcPr>
            <w:tcW w:type="dxa" w:w="1958"/>
          </w:tcPr>
          <w:p>
            <w:r>
              <w:t>Authorized but unissued</w:t>
            </w:r>
          </w:p>
        </w:tc>
        <w:tc>
          <w:tcPr>
            <w:tcW w:type="dxa" w:w="1958"/>
          </w:tcPr>
          <w:p>
            <w:r>
              <w:t>20.00%</w:t>
            </w:r>
          </w:p>
        </w:tc>
      </w:tr>
      <w:tr>
        <w:tc>
          <w:tcPr>
            <w:tcW w:type="dxa" w:w="1958"/>
          </w:tcPr>
          <w:p>
            <w:r>
              <w:t>Total authorized Common Stock</w:t>
            </w:r>
          </w:p>
        </w:tc>
        <w:tc>
          <w:tcPr>
            <w:tcW w:type="dxa" w:w="1958"/>
          </w:tcPr>
          <w:p>
            <w:r>
              <w:t>Common Stock</w:t>
            </w:r>
          </w:p>
        </w:tc>
        <w:tc>
          <w:tcPr>
            <w:tcW w:type="dxa" w:w="1958"/>
          </w:tcPr>
          <w:p>
            <w:r>
              <w:t>10,000,000</w:t>
            </w:r>
          </w:p>
        </w:tc>
        <w:tc>
          <w:tcPr>
            <w:tcW w:type="dxa" w:w="1958"/>
          </w:tcPr>
          <w:p>
            <w:r/>
          </w:p>
        </w:tc>
        <w:tc>
          <w:tcPr>
            <w:tcW w:type="dxa" w:w="1958"/>
          </w:tcPr>
          <w:p>
            <w:r>
              <w:t>100.00%</w:t>
            </w:r>
          </w:p>
        </w:tc>
      </w:tr>
    </w:tbl>
    <w:p>
      <w:pPr>
        <w:pStyle w:val="Heading1"/>
      </w:pPr>
      <w:r>
        <w:t>Issued and Outstanding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Stockholder</w:t>
            </w:r>
          </w:p>
        </w:tc>
        <w:tc>
          <w:tcPr>
            <w:tcW w:type="dxa" w:w="2448"/>
          </w:tcPr>
          <w:p>
            <w:r>
              <w:t>Class</w:t>
            </w:r>
          </w:p>
        </w:tc>
        <w:tc>
          <w:tcPr>
            <w:tcW w:type="dxa" w:w="2448"/>
          </w:tcPr>
          <w:p>
            <w:r>
              <w:t>Shares issued and outstanding</w:t>
            </w:r>
          </w:p>
        </w:tc>
        <w:tc>
          <w:tcPr>
            <w:tcW w:type="dxa" w:w="2448"/>
          </w:tcPr>
          <w:p>
            <w:r>
              <w:t>Percent of issued and outstanding</w:t>
            </w:r>
          </w:p>
        </w:tc>
      </w:tr>
      <w:tr>
        <w:tc>
          <w:tcPr>
            <w:tcW w:type="dxa" w:w="2448"/>
          </w:tcPr>
          <w:p>
            <w:r>
              <w:t>Charles Petrini Poli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5,000,000</w:t>
            </w:r>
          </w:p>
        </w:tc>
        <w:tc>
          <w:tcPr>
            <w:tcW w:type="dxa" w:w="2448"/>
          </w:tcPr>
          <w:p>
            <w:r>
              <w:t>62.50%</w:t>
            </w:r>
          </w:p>
        </w:tc>
      </w:tr>
      <w:tr>
        <w:tc>
          <w:tcPr>
            <w:tcW w:type="dxa" w:w="2448"/>
          </w:tcPr>
          <w:p>
            <w:r>
              <w:t>Thibaud Peverelli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3,000,000</w:t>
            </w:r>
          </w:p>
        </w:tc>
        <w:tc>
          <w:tcPr>
            <w:tcW w:type="dxa" w:w="2448"/>
          </w:tcPr>
          <w:p>
            <w:r>
              <w:t>37.50%</w:t>
            </w:r>
          </w:p>
        </w:tc>
      </w:tr>
      <w:tr>
        <w:tc>
          <w:tcPr>
            <w:tcW w:type="dxa" w:w="2448"/>
          </w:tcPr>
          <w:p>
            <w:r>
              <w:t>Total issued and outstanding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8,000,000</w:t>
            </w:r>
          </w:p>
        </w:tc>
        <w:tc>
          <w:tcPr>
            <w:tcW w:type="dxa" w:w="2448"/>
          </w:tcPr>
          <w:p>
            <w:r>
              <w:t>100.00%</w:t>
            </w:r>
          </w:p>
        </w:tc>
      </w:tr>
    </w:tbl>
    <w:p>
      <w:pPr>
        <w:pStyle w:val="Heading1"/>
      </w:pPr>
      <w:r>
        <w:t>Unissued Shares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Category</w:t>
            </w:r>
          </w:p>
        </w:tc>
        <w:tc>
          <w:tcPr>
            <w:tcW w:type="dxa" w:w="2448"/>
          </w:tcPr>
          <w:p>
            <w:r>
              <w:t>Class</w:t>
            </w:r>
          </w:p>
        </w:tc>
        <w:tc>
          <w:tcPr>
            <w:tcW w:type="dxa" w:w="2448"/>
          </w:tcPr>
          <w:p>
            <w:r>
              <w:t>Shares</w:t>
            </w:r>
          </w:p>
        </w:tc>
        <w:tc>
          <w:tcPr>
            <w:tcW w:type="dxa" w:w="2448"/>
          </w:tcPr>
          <w:p>
            <w:r>
              <w:t>Notes</w:t>
            </w:r>
          </w:p>
        </w:tc>
      </w:tr>
      <w:tr>
        <w:tc>
          <w:tcPr>
            <w:tcW w:type="dxa" w:w="2448"/>
          </w:tcPr>
          <w:p>
            <w:r>
              <w:t>Authorized but unissued shares</w:t>
            </w:r>
          </w:p>
        </w:tc>
        <w:tc>
          <w:tcPr>
            <w:tcW w:type="dxa" w:w="2448"/>
          </w:tcPr>
          <w:p>
            <w:r>
              <w:t>Common Stock</w:t>
            </w:r>
          </w:p>
        </w:tc>
        <w:tc>
          <w:tcPr>
            <w:tcW w:type="dxa" w:w="2448"/>
          </w:tcPr>
          <w:p>
            <w:r>
              <w:t>2,000,000</w:t>
            </w:r>
          </w:p>
        </w:tc>
        <w:tc>
          <w:tcPr>
            <w:tcW w:type="dxa" w:w="2448"/>
          </w:tcPr>
          <w:p>
            <w:r>
              <w:t>These shares are not owned by any person. They remain available for future issuance, including a possible equity incentive plan, financing, advisor grants, or other board-approved corporate purposes.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The 2,000,000 unassigned shares are not issued shares and should not appear as owned by the company, treasury stock, or a third party unless the board later approves a specific issuance.</w:t>
      </w:r>
    </w:p>
    <w:p>
      <w:pPr>
        <w:pStyle w:val="ListBullet"/>
      </w:pPr>
      <w:r>
        <w:t>If the company creates an equity incentive plan, the board and stockholders should approve a separate plan and reserve some or all of the unissued shares for that plan.</w:t>
      </w:r>
    </w:p>
    <w:p>
      <w:pPr>
        <w:pStyle w:val="ListBullet"/>
      </w:pPr>
      <w:r>
        <w:t>Percentages in this cap table are based only on Common Stock and do not include options, warrants, SAFEs, convertible notes, or preferred stock.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