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Founder Share Issuance Closing Checklist</w:t>
      </w:r>
    </w:p>
    <w:p>
      <w:r>
        <w:t>Company: [COMPANY LEGAL NAME]</w:t>
      </w:r>
    </w:p>
    <w:p>
      <w:r>
        <w:t>Date: [DATE]</w:t>
      </w:r>
    </w:p>
    <w:p>
      <w:pPr>
        <w:pStyle w:val="Heading1"/>
      </w:pPr>
      <w:r>
        <w:t>Before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certificate of incorporation authorizes 10,000,000 shares of Common Stock.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par value per share: $[PAR VALUE].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purchase price per share: $[PRICE PER SHARE].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purchase price is not less than par value.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current board members and signature authority.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founder legal names and residential addresses.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no vesting, no reverse vesting, and no service-based company repurchase right.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securities-law exemption with counsel.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state blue sky notices or internal exemption records are needed.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founder IP assignment agreements are signed separately.</w:t>
            </w:r>
          </w:p>
        </w:tc>
      </w:tr>
    </w:tbl>
    <w:p>
      <w:pPr>
        <w:pStyle w:val="Heading1"/>
      </w:pPr>
      <w:r>
        <w:t>Signing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Document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Board written consent approving founder stock issuance.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Founder Restricted Stock Purchase Agreement - Charles Petrini 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Founder Restricted Stock Purchase Agreement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Payment receipt - Charles Petrini 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Payment receipt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Uncertificated share notice - Charles Petrini 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Uncertificated share notice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Updated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Updated cap table.</w:t>
            </w:r>
          </w:p>
        </w:tc>
      </w:tr>
    </w:tbl>
    <w:p>
      <w:pPr>
        <w:pStyle w:val="Heading1"/>
      </w:pPr>
      <w:r>
        <w:t>Closing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Step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Board signs the written consent.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and Charles Petrini Poli sign the stock purchase agreement.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and Thibaud Peverelli sign the stock purchase agreement.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Charles Petrini Poli pays $[CHARLES TOTAL PURCHASE PRICE] to the Company.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Thibaud Peverelli pays $[THIBAUD TOTAL PURCHASE PRICE] to the Company.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signs payment receipts.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records CS-001 and CS-002 in the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updates the cap table.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delivers uncertificated share notices.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stores the signed documents in the corporate minute book.</w:t>
            </w:r>
          </w:p>
        </w:tc>
      </w:tr>
    </w:tbl>
    <w:p>
      <w:pPr>
        <w:pStyle w:val="Heading1"/>
      </w:pPr>
      <w:r>
        <w:t>Post-Closing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Keep proof of payment with the signed stock purchase agreements.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Store stock ledger and cap table in the company records.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If creating an option pool, prepare separate board and stockholder approvals for an equity incentive plan.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If issuing options, obtain a 409A valuation before option grants.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Review tax treatment with counsel or a tax advisor.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