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J. Antonelli Onboarding Package</w:t>
      </w:r>
    </w:p>
    <w:p>
      <w:r>
        <w:t>Company: Lolo Care, Inc.</w:t>
      </w:r>
    </w:p>
    <w:p>
      <w:r>
        <w:t>Prepared: June 16, 2026</w:t>
      </w:r>
    </w:p>
    <w:p>
      <w:r>
        <w:t>Recipient: Ronald J. Antonelli, a Raleigh, North Carolina-based lawyer</w:t>
      </w:r>
    </w:p>
    <w:p>
      <w:pPr>
        <w:pStyle w:val="Heading1"/>
      </w:pPr>
      <w:r>
        <w:t>Deal Summary</w:t>
      </w:r>
    </w:p>
    <w:p>
      <w:r>
        <w:t>This package assumes that Lolo Care, Inc. has 10,000,000 authorized shares of Common Stock and that the current founder capitalization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Holder / category</w:t>
            </w:r>
          </w:p>
        </w:tc>
        <w:tc>
          <w:tcPr>
            <w:tcW w:type="dxa" w:w="3264"/>
          </w:tcPr>
          <w:p>
            <w:r>
              <w:t>Shares</w:t>
            </w:r>
          </w:p>
        </w:tc>
        <w:tc>
          <w:tcPr>
            <w:tcW w:type="dxa" w:w="3264"/>
          </w:tcPr>
          <w:p>
            <w:r>
              <w:t>Status</w:t>
            </w:r>
          </w:p>
        </w:tc>
      </w:tr>
      <w:tr>
        <w:tc>
          <w:tcPr>
            <w:tcW w:type="dxa" w:w="3264"/>
          </w:tcPr>
          <w:p>
            <w:r>
              <w:t>Charles Petrini-Poli</w:t>
            </w:r>
          </w:p>
        </w:tc>
        <w:tc>
          <w:tcPr>
            <w:tcW w:type="dxa" w:w="3264"/>
          </w:tcPr>
          <w:p>
            <w:r>
              <w:t>5,000,000</w:t>
            </w:r>
          </w:p>
        </w:tc>
        <w:tc>
          <w:tcPr>
            <w:tcW w:type="dxa" w:w="3264"/>
          </w:tcPr>
          <w:p>
            <w:r>
              <w:t>Issued founder shares</w:t>
            </w:r>
          </w:p>
        </w:tc>
      </w:tr>
      <w:tr>
        <w:tc>
          <w:tcPr>
            <w:tcW w:type="dxa" w:w="3264"/>
          </w:tcPr>
          <w:p>
            <w:r>
              <w:t>Thibaud Peverelli</w:t>
            </w:r>
          </w:p>
        </w:tc>
        <w:tc>
          <w:tcPr>
            <w:tcW w:type="dxa" w:w="3264"/>
          </w:tcPr>
          <w:p>
            <w:r>
              <w:t>3,000,000</w:t>
            </w:r>
          </w:p>
        </w:tc>
        <w:tc>
          <w:tcPr>
            <w:tcW w:type="dxa" w:w="3264"/>
          </w:tcPr>
          <w:p>
            <w:r>
              <w:t>Issued founder shares</w:t>
            </w:r>
          </w:p>
        </w:tc>
      </w:tr>
      <w:tr>
        <w:tc>
          <w:tcPr>
            <w:tcW w:type="dxa" w:w="3264"/>
          </w:tcPr>
          <w:p>
            <w:r>
              <w:t>Unassigned / company reserve</w:t>
            </w:r>
          </w:p>
        </w:tc>
        <w:tc>
          <w:tcPr>
            <w:tcW w:type="dxa" w:w="3264"/>
          </w:tcPr>
          <w:p>
            <w:r>
              <w:t>2,000,000</w:t>
            </w:r>
          </w:p>
        </w:tc>
        <w:tc>
          <w:tcPr>
            <w:tcW w:type="dxa" w:w="3264"/>
          </w:tcPr>
          <w:p>
            <w:r>
              <w:t>Authorized but unissued</w:t>
            </w:r>
          </w:p>
        </w:tc>
      </w:tr>
    </w:tbl>
    <w:p>
      <w:r>
        <w:t>The proposed RJ package uses 1,000,000 of the 2,000,000 unassigned shares: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Component</w:t>
            </w:r>
          </w:p>
        </w:tc>
        <w:tc>
          <w:tcPr>
            <w:tcW w:type="dxa" w:w="3264"/>
          </w:tcPr>
          <w:p>
            <w:r>
              <w:t>Shares</w:t>
            </w:r>
          </w:p>
        </w:tc>
        <w:tc>
          <w:tcPr>
            <w:tcW w:type="dxa" w:w="3264"/>
          </w:tcPr>
          <w:p>
            <w:r>
              <w:t>Draft treatment</w:t>
            </w:r>
          </w:p>
        </w:tc>
      </w:tr>
      <w:tr>
        <w:tc>
          <w:tcPr>
            <w:tcW w:type="dxa" w:w="3264"/>
          </w:tcPr>
          <w:p>
            <w:r>
              <w:t>Immediate equity</w:t>
            </w:r>
          </w:p>
        </w:tc>
        <w:tc>
          <w:tcPr>
            <w:tcW w:type="dxa" w:w="3264"/>
          </w:tcPr>
          <w:p>
            <w:r>
              <w:t>500,000</w:t>
            </w:r>
          </w:p>
        </w:tc>
        <w:tc>
          <w:tcPr>
            <w:tcW w:type="dxa" w:w="3264"/>
          </w:tcPr>
          <w:p>
            <w:r>
              <w:t>Vested at closing, subject to transfer restrictions</w:t>
            </w:r>
          </w:p>
        </w:tc>
      </w:tr>
      <w:tr>
        <w:tc>
          <w:tcPr>
            <w:tcW w:type="dxa" w:w="3264"/>
          </w:tcPr>
          <w:p>
            <w:r>
              <w:t>Vesting equity</w:t>
            </w:r>
          </w:p>
        </w:tc>
        <w:tc>
          <w:tcPr>
            <w:tcW w:type="dxa" w:w="3264"/>
          </w:tcPr>
          <w:p>
            <w:r>
              <w:t>500,000</w:t>
            </w:r>
          </w:p>
        </w:tc>
        <w:tc>
          <w:tcPr>
            <w:tcW w:type="dxa" w:w="3264"/>
          </w:tcPr>
          <w:p>
            <w:r>
              <w:t>Issued at closing but subject to 18-month vesting, company repurchase rights, service conditions, funding compliance, and transfer restrictions</w:t>
            </w:r>
          </w:p>
        </w:tc>
      </w:tr>
      <w:tr>
        <w:tc>
          <w:tcPr>
            <w:tcW w:type="dxa" w:w="3264"/>
          </w:tcPr>
          <w:p>
            <w:r>
              <w:t>Monthly funding</w:t>
            </w:r>
          </w:p>
        </w:tc>
        <w:tc>
          <w:tcPr>
            <w:tcW w:type="dxa" w:w="3264"/>
          </w:tcPr>
          <w:p>
            <w:r>
              <w:t>$6,000 total</w:t>
            </w:r>
          </w:p>
        </w:tc>
        <w:tc>
          <w:tcPr>
            <w:tcW w:type="dxa" w:w="3264"/>
          </w:tcPr>
          <w:p>
            <w:r>
              <w:t>$1,000 per month for 6 months as a capital contribution unless counsel changes the structure</w:t>
            </w:r>
          </w:p>
        </w:tc>
      </w:tr>
    </w:tbl>
    <w:p>
      <w:r>
        <w:t>After the full RJ package is issued, Lolo Care, Inc. would have 9,000,000 issued shares and 1,000,000 authorized but unissued shares.</w:t>
      </w:r>
    </w:p>
    <w:p>
      <w:pPr>
        <w:pStyle w:val="Heading1"/>
      </w:pPr>
      <w:r>
        <w:t>Important Legal Design Notes</w:t>
      </w:r>
    </w:p>
    <w:p>
      <w:pPr>
        <w:pStyle w:val="ListBullet"/>
      </w:pPr>
      <w:r>
        <w:t>RJ is a lawyer. Equity compensation and a funding commitment between a lawyer and a client can trigger legal ethics and conflict-of-interest rules.</w:t>
      </w:r>
    </w:p>
    <w:p>
      <w:pPr>
        <w:pStyle w:val="ListBullet"/>
      </w:pPr>
      <w:r>
        <w:t>This package includes a separate professional-responsibility disclosure and written consent.</w:t>
      </w:r>
    </w:p>
    <w:p>
      <w:pPr>
        <w:pStyle w:val="ListBullet"/>
      </w:pPr>
      <w:r>
        <w:t>Lolo Care, Inc. should have independent counsel review the transaction before signing.</w:t>
      </w:r>
    </w:p>
    <w:p>
      <w:pPr>
        <w:pStyle w:val="ListBullet"/>
      </w:pPr>
      <w:r>
        <w:t>RJ should not be the only lawyer advising Lolo Care, Inc. on the fairness, legality, tax treatment, securities-law treatment, or professional-responsibility treatment of his own equity and funding transaction.</w:t>
      </w:r>
    </w:p>
    <w:p>
      <w:pPr>
        <w:pStyle w:val="ListBullet"/>
      </w:pPr>
      <w:r>
        <w:t>The unvested shares are designed to be limited through vesting, repurchase rights, transfer restrictions, and funding/service default provisions.</w:t>
      </w:r>
    </w:p>
    <w:p>
      <w:pPr>
        <w:pStyle w:val="ListBullet"/>
      </w:pPr>
      <w:r>
        <w:t>The documents do not make RJ a director and do not grant RJ founder governance veto rights.</w:t>
      </w:r>
    </w:p>
    <w:p>
      <w:pPr>
        <w:pStyle w:val="Heading1"/>
      </w:pPr>
      <w:r>
        <w:t>Documents</w:t>
      </w:r>
    </w:p>
    <w:p>
      <w:pPr>
        <w:pStyle w:val="ListNumber"/>
      </w:pPr>
      <w:r>
        <w:t>`01-rj-strategy-and-document-memo.md`</w:t>
      </w:r>
    </w:p>
    <w:p>
      <w:pPr>
        <w:pStyle w:val="ListNumber"/>
      </w:pPr>
      <w:r>
        <w:t>`02-board-consent-approving-rj-package.md`</w:t>
      </w:r>
    </w:p>
    <w:p>
      <w:pPr>
        <w:pStyle w:val="ListNumber"/>
      </w:pPr>
      <w:r>
        <w:t>`03-founder-stockholder-consent-approving-rj-package.md`</w:t>
      </w:r>
    </w:p>
    <w:p>
      <w:pPr>
        <w:pStyle w:val="ListNumber"/>
      </w:pPr>
      <w:r>
        <w:t>`04-rj-legal-services-and-strategic-advisor-agreement.md`</w:t>
      </w:r>
    </w:p>
    <w:p>
      <w:pPr>
        <w:pStyle w:val="ListNumber"/>
      </w:pPr>
      <w:r>
        <w:t>`05-rj-initial-statement-of-work.md`</w:t>
      </w:r>
    </w:p>
    <w:p>
      <w:pPr>
        <w:pStyle w:val="ListNumber"/>
      </w:pPr>
      <w:r>
        <w:t>`06-rj-restricted-stock-purchase-agreement.md`</w:t>
      </w:r>
    </w:p>
    <w:p>
      <w:pPr>
        <w:pStyle w:val="ListNumber"/>
      </w:pPr>
      <w:r>
        <w:t>`07-rj-stockholder-joinder-transfer-rofr-and-confidentiality-agreement.md`</w:t>
      </w:r>
    </w:p>
    <w:p>
      <w:pPr>
        <w:pStyle w:val="ListNumber"/>
      </w:pPr>
      <w:r>
        <w:t>`08-rj-capital-contribution-and-funding-commitment-agreement.md`</w:t>
      </w:r>
    </w:p>
    <w:p>
      <w:pPr>
        <w:pStyle w:val="ListNumber"/>
      </w:pPr>
      <w:r>
        <w:t>`09-rj-professional-responsibility-disclosure-and-consent.md`</w:t>
      </w:r>
    </w:p>
    <w:p>
      <w:pPr>
        <w:pStyle w:val="ListNumber"/>
      </w:pPr>
      <w:r>
        <w:t>`10-rj-83b-election-instructions-and-template.md`</w:t>
      </w:r>
    </w:p>
    <w:p>
      <w:pPr>
        <w:pStyle w:val="ListNumber"/>
      </w:pPr>
      <w:r>
        <w:t>`11-rj-uncertificated-share-notice.md`</w:t>
      </w:r>
    </w:p>
    <w:p>
      <w:pPr>
        <w:pStyle w:val="ListNumber"/>
      </w:pPr>
      <w:r>
        <w:t>`12-rj-cap-table-update.md`</w:t>
      </w:r>
    </w:p>
    <w:p>
      <w:pPr>
        <w:pStyle w:val="ListNumber"/>
      </w:pPr>
      <w:r>
        <w:t>`12-rj-cap-table-update.csv`</w:t>
      </w:r>
    </w:p>
    <w:p>
      <w:pPr>
        <w:pStyle w:val="ListNumber"/>
      </w:pPr>
      <w:r>
        <w:t>`13-rj-signing-and-closing-checklist.md`</w:t>
      </w:r>
    </w:p>
    <w:p>
      <w:pPr>
        <w:pStyle w:val="ListNumber"/>
      </w:pPr>
      <w:r>
        <w:t>`14-rj-stock-purchase-payment-receipt.md`</w:t>
      </w:r>
    </w:p>
    <w:p>
      <w:pPr>
        <w:pStyle w:val="ListNumber"/>
      </w:pPr>
      <w:r>
        <w:t>`15-rj-funding-tracker-and-receipts.md`</w:t>
      </w:r>
    </w:p>
    <w:p>
      <w:pPr>
        <w:pStyle w:val="Heading1"/>
      </w:pPr>
      <w:r>
        <w:t>Open Items Before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Item</w:t>
            </w:r>
          </w:p>
        </w:tc>
        <w:tc>
          <w:tcPr>
            <w:tcW w:type="dxa" w:w="4896"/>
          </w:tcPr>
          <w:p>
            <w:r>
              <w:t>Needed value</w:t>
            </w:r>
          </w:p>
        </w:tc>
      </w:tr>
      <w:tr>
        <w:tc>
          <w:tcPr>
            <w:tcW w:type="dxa" w:w="4896"/>
          </w:tcPr>
          <w:p>
            <w:r>
              <w:t>RJ address</w:t>
            </w:r>
          </w:p>
        </w:tc>
        <w:tc>
          <w:tcPr>
            <w:tcW w:type="dxa" w:w="4896"/>
          </w:tcPr>
          <w:p>
            <w:r>
              <w:t>[RJ ADDRESS]</w:t>
            </w:r>
          </w:p>
        </w:tc>
      </w:tr>
      <w:tr>
        <w:tc>
          <w:tcPr>
            <w:tcW w:type="dxa" w:w="4896"/>
          </w:tcPr>
          <w:p>
            <w:r>
              <w:t>RJ bar jurisdiction and bar number</w:t>
            </w:r>
          </w:p>
        </w:tc>
        <w:tc>
          <w:tcPr>
            <w:tcW w:type="dxa" w:w="4896"/>
          </w:tcPr>
          <w:p>
            <w:r>
              <w:t>North Carolina State Bar; Bar No. [RJ NC BAR NUMBER]</w:t>
            </w:r>
          </w:p>
        </w:tc>
      </w:tr>
      <w:tr>
        <w:tc>
          <w:tcPr>
            <w:tcW w:type="dxa" w:w="4896"/>
          </w:tcPr>
          <w:p>
            <w:r>
              <w:t>Effective date</w:t>
            </w:r>
          </w:p>
        </w:tc>
        <w:tc>
          <w:tcPr>
            <w:tcW w:type="dxa" w:w="4896"/>
          </w:tcPr>
          <w:p>
            <w:r>
              <w:t>[DATE]</w:t>
            </w:r>
          </w:p>
        </w:tc>
      </w:tr>
      <w:tr>
        <w:tc>
          <w:tcPr>
            <w:tcW w:type="dxa" w:w="4896"/>
          </w:tcPr>
          <w:p>
            <w:r>
              <w:t>Board approval date</w:t>
            </w:r>
          </w:p>
        </w:tc>
        <w:tc>
          <w:tcPr>
            <w:tcW w:type="dxa" w:w="4896"/>
          </w:tcPr>
          <w:p>
            <w:r>
              <w:t>[BOARD APPROVAL DATE]</w:t>
            </w:r>
          </w:p>
        </w:tc>
      </w:tr>
      <w:tr>
        <w:tc>
          <w:tcPr>
            <w:tcW w:type="dxa" w:w="4896"/>
          </w:tcPr>
          <w:p>
            <w:r>
              <w:t>Closing date</w:t>
            </w:r>
          </w:p>
        </w:tc>
        <w:tc>
          <w:tcPr>
            <w:tcW w:type="dxa" w:w="4896"/>
          </w:tcPr>
          <w:p>
            <w:r>
              <w:t>[CLOSING DATE]</w:t>
            </w:r>
          </w:p>
        </w:tc>
      </w:tr>
      <w:tr>
        <w:tc>
          <w:tcPr>
            <w:tcW w:type="dxa" w:w="4896"/>
          </w:tcPr>
          <w:p>
            <w:r>
              <w:t>Lolo Care, Inc. principal office</w:t>
            </w:r>
          </w:p>
        </w:tc>
        <w:tc>
          <w:tcPr>
            <w:tcW w:type="dxa" w:w="4896"/>
          </w:tcPr>
          <w:p>
            <w:r>
              <w:t>8801 Fast Park Drive, Raleigh, NC</w:t>
            </w:r>
          </w:p>
        </w:tc>
      </w:tr>
      <w:tr>
        <w:tc>
          <w:tcPr>
            <w:tcW w:type="dxa" w:w="4896"/>
          </w:tcPr>
          <w:p>
            <w:r>
              <w:t>Par value</w:t>
            </w:r>
          </w:p>
        </w:tc>
        <w:tc>
          <w:tcPr>
            <w:tcW w:type="dxa" w:w="4896"/>
          </w:tcPr>
          <w:p>
            <w:r>
              <w:t>$0.00001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$0.00001</w:t>
            </w:r>
          </w:p>
        </w:tc>
      </w:tr>
      <w:tr>
        <w:tc>
          <w:tcPr>
            <w:tcW w:type="dxa" w:w="4896"/>
          </w:tcPr>
          <w:p>
            <w:r>
              <w:t>Total RJ purchase price</w:t>
            </w:r>
          </w:p>
        </w:tc>
        <w:tc>
          <w:tcPr>
            <w:tcW w:type="dxa" w:w="4896"/>
          </w:tcPr>
          <w:p>
            <w:r>
              <w:t>$10.00</w:t>
            </w:r>
          </w:p>
        </w:tc>
      </w:tr>
      <w:tr>
        <w:tc>
          <w:tcPr>
            <w:tcW w:type="dxa" w:w="4896"/>
          </w:tcPr>
          <w:p>
            <w:r>
              <w:t>Funding start date</w:t>
            </w:r>
          </w:p>
        </w:tc>
        <w:tc>
          <w:tcPr>
            <w:tcW w:type="dxa" w:w="4896"/>
          </w:tcPr>
          <w:p>
            <w:r>
              <w:t>[FUNDING START DATE]</w:t>
            </w:r>
          </w:p>
        </w:tc>
      </w:tr>
      <w:tr>
        <w:tc>
          <w:tcPr>
            <w:tcW w:type="dxa" w:w="4896"/>
          </w:tcPr>
          <w:p>
            <w:r>
              <w:t>First six funding due dates</w:t>
            </w:r>
          </w:p>
        </w:tc>
        <w:tc>
          <w:tcPr>
            <w:tcW w:type="dxa" w:w="4896"/>
          </w:tcPr>
          <w:p>
            <w:r>
              <w:t>[FUNDING DUE DATES]</w:t>
            </w:r>
          </w:p>
        </w:tc>
      </w:tr>
      <w:tr>
        <w:tc>
          <w:tcPr>
            <w:tcW w:type="dxa" w:w="4896"/>
          </w:tcPr>
          <w:p>
            <w:r>
              <w:t>Initial legal/task milestones</w:t>
            </w:r>
          </w:p>
        </w:tc>
        <w:tc>
          <w:tcPr>
            <w:tcW w:type="dxa" w:w="4896"/>
          </w:tcPr>
          <w:p>
            <w:r>
              <w:t>[TASKS]</w:t>
            </w:r>
          </w:p>
        </w:tc>
      </w:tr>
      <w:tr>
        <w:tc>
          <w:tcPr>
            <w:tcW w:type="dxa" w:w="4896"/>
          </w:tcPr>
          <w:p>
            <w:r>
              <w:t>Required monthly time commitment, if any</w:t>
            </w:r>
          </w:p>
        </w:tc>
        <w:tc>
          <w:tcPr>
            <w:tcW w:type="dxa" w:w="4896"/>
          </w:tcPr>
          <w:p>
            <w:r>
              <w:t>[HOURS]</w:t>
            </w:r>
          </w:p>
        </w:tc>
      </w:tr>
      <w:tr>
        <w:tc>
          <w:tcPr>
            <w:tcW w:type="dxa" w:w="4896"/>
          </w:tcPr>
          <w:p>
            <w:r>
              <w:t>Independent counsel confirmation</w:t>
            </w:r>
          </w:p>
        </w:tc>
        <w:tc>
          <w:tcPr>
            <w:tcW w:type="dxa" w:w="4896"/>
          </w:tcPr>
          <w:p>
            <w:r>
              <w:t>[COUNSEL NAME]</w:t>
            </w:r>
          </w:p>
        </w:tc>
      </w:tr>
    </w:tbl>
    <w:p>
      <w:pPr>
        <w:pStyle w:val="Heading1"/>
      </w:pPr>
      <w:r>
        <w:t>North Carolina Ethics Note</w:t>
      </w:r>
    </w:p>
    <w:p>
      <w:r>
        <w:t>Because RJ is a North Carolina lawyer based in Raleigh, the professional-responsibility review should specifically address the North Carolina Rules of Professional Conduct, including Rule 1.8(a) for business transactions with clients, Rule 1.7 for personal-interest conflicts, and Rule 5.4 for lawyer professional independence.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