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Superseded Draft - Do Not Sign</w:t>
      </w:r>
    </w:p>
    <w:p>
      <w:r>
        <w:t>Original document name: 03-action-by-sole-incorporator-electing-directors.docx</w:t>
      </w:r>
    </w:p>
    <w:p>
      <w:r>
        <w:t>Company: Lolo Care, Inc.</w:t>
      </w:r>
    </w:p>
    <w:p>
      <w:pPr>
        <w:pStyle w:val="Heading1"/>
      </w:pPr>
      <w:r>
        <w:t>Reason This Draft Is Superseded</w:t>
      </w:r>
    </w:p>
    <w:p>
      <w:r>
        <w:t>The registered-agent incorporator resolutions dated June 21, 2026 already appointed Charles Petrini-Poli as President, Treasurer, Secretary, and Director and relinquished incorporator authority. Because that official signed resolution already performed the initial incorporator action, this older draft should not be signed.</w:t>
      </w:r>
    </w:p>
    <w:p>
      <w:pPr>
        <w:pStyle w:val="Heading1"/>
      </w:pPr>
      <w:r>
        <w:t>Use These Records Instead</w:t>
      </w:r>
    </w:p>
    <w:p>
      <w:r>
        <w:t>1. Filed Delaware Certificate of Incorporation dated June 15, 2026, file number 10661302.</w:t>
      </w:r>
    </w:p>
    <w:p>
      <w:r>
        <w:t>2. Registered-agent incorporator initial resolutions dated June 21, 2026.</w:t>
      </w:r>
    </w:p>
    <w:p>
      <w:r>
        <w:t>3. 03A-action-by-initial-sole-director-appointing-thibaud-and-officers.docx.</w:t>
      </w:r>
    </w:p>
    <w:p>
      <w:pPr>
        <w:pStyle w:val="Heading1"/>
      </w:pPr>
      <w:r>
        <w:t>Practical Effect</w:t>
      </w:r>
    </w:p>
    <w:p>
      <w:r>
        <w:t>Charles Petrini-Poli starts from the official registered-agent resolutions as the initial sole director/officer. Charles should sign the 03A bridge action to ratify/adopt the bylaws, fix the board at two, appoint Thibaud Peverelli as a director, and confirm Charles as CEO / President and Thibaud as Secretary / Treasurer.</w:t>
      </w:r>
    </w:p>
    <w:p>
      <w:pPr>
        <w:pStyle w:val="Heading1"/>
      </w:pPr>
      <w:r>
        <w:t>Counsel Note</w:t>
      </w:r>
    </w:p>
    <w:p>
      <w:r>
        <w:t>Have Delaware counsel confirm the final governance chain before signature, especially the authority for the initial sole director action and whether stockholder ratification should be included after founder shares are issued.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