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Voting and Governance Agreement</w:t>
      </w:r>
    </w:p>
    <w:p>
      <w:r>
        <w:t>This Founder Voting and Governance Agreement (this "Agreement") is entered into as of June 26, 2026, by and among Lolo Care, Inc., a Delaware corporation (the "Company"), Charles Petrini-Poli ("Charles"), and Thibaud Peverelli ("Thibaud"). Charles and Thibaud are sometimes referred to individually as a "Founder" and collectively as the "Founders."</w:t>
      </w:r>
    </w:p>
    <w:p>
      <w:pPr>
        <w:pStyle w:val="Heading1"/>
      </w:pPr>
      <w:r>
        <w:t>1. Background</w:t>
      </w:r>
    </w:p>
    <w:p>
      <w:r>
        <w:t xml:space="preserve">1.1 </w:t>
      </w:r>
      <w:r>
        <w:rPr>
          <w:b/>
        </w:rPr>
        <w:t>Capitalization.</w:t>
      </w:r>
      <w:r>
        <w:t xml:space="preserve"> The Company is authorized to issue 10,000,000 shares of Common Stock. Charles holds 5,000,000 shares of Common Stock, and Thibaud holds 3,000,000 shares of Common Stock. The remaining 2,000,000 authorized shares are unissued.</w:t>
      </w:r>
    </w:p>
    <w:p>
      <w:r>
        <w:t xml:space="preserve">1.2 </w:t>
      </w:r>
      <w:r>
        <w:rPr>
          <w:b/>
        </w:rPr>
        <w:t>Purpose.</w:t>
      </w:r>
      <w:r>
        <w:t xml:space="preserve"> The Founders desire to establish the Company's initial governance structure, including the composition of the Board, voting commitments, reserved matters, and deadlock process.</w:t>
      </w:r>
    </w:p>
    <w:p>
      <w:r>
        <w:t xml:space="preserve">1.3 </w:t>
      </w:r>
      <w:r>
        <w:rPr>
          <w:b/>
        </w:rPr>
        <w:t>Stockholder Capacity.</w:t>
      </w:r>
      <w:r>
        <w:t xml:space="preserve"> Each Founder enters into this Agreement in such Founder's capacity as a stockholder of the Company. Nothing in this Agreement requires any director to act in a manner inconsistent with such director's fiduciary duties under applicable law.</w:t>
      </w:r>
    </w:p>
    <w:p>
      <w:pPr>
        <w:pStyle w:val="Heading1"/>
      </w:pPr>
      <w:r>
        <w:t>2. Board Composition</w:t>
      </w:r>
    </w:p>
    <w:p>
      <w:r>
        <w:t xml:space="preserve">2.1 </w:t>
      </w:r>
      <w:r>
        <w:rPr>
          <w:b/>
        </w:rPr>
        <w:t>Two-Person Board.</w:t>
      </w:r>
      <w:r>
        <w:t xml:space="preserve"> The Board shall initially consist of two directors.</w:t>
      </w:r>
    </w:p>
    <w:p>
      <w:r>
        <w:t xml:space="preserve">2.2 </w:t>
      </w:r>
      <w:r>
        <w:rPr>
          <w:b/>
        </w:rPr>
        <w:t>Initial Directors.</w:t>
      </w:r>
      <w:r>
        <w:t xml:space="preserve"> The initial directors shall be:</w:t>
      </w:r>
    </w:p>
    <w:tbl>
      <w:tblPr>
        <w:tblStyle w:val="TableGrid"/>
        <w:tblW w:type="auto" w:w="0"/>
        <w:tblLook w:firstColumn="1" w:firstRow="1" w:lastColumn="0" w:lastRow="0" w:noHBand="0" w:noVBand="1" w:val="04A0"/>
      </w:tblPr>
      <w:tblGrid>
        <w:gridCol w:w="4896"/>
        <w:gridCol w:w="4896"/>
      </w:tblGrid>
      <w:tr>
        <w:tc>
          <w:tcPr>
            <w:tcW w:type="dxa" w:w="4896"/>
          </w:tcPr>
          <w:p>
            <w:r>
              <w:t>Seat</w:t>
            </w:r>
          </w:p>
        </w:tc>
        <w:tc>
          <w:tcPr>
            <w:tcW w:type="dxa" w:w="4896"/>
          </w:tcPr>
          <w:p>
            <w:r>
              <w:t>Director</w:t>
            </w:r>
          </w:p>
        </w:tc>
      </w:tr>
      <w:tr>
        <w:tc>
          <w:tcPr>
            <w:tcW w:type="dxa" w:w="4896"/>
          </w:tcPr>
          <w:p>
            <w:r>
              <w:t>Founder Seat 1</w:t>
            </w:r>
          </w:p>
        </w:tc>
        <w:tc>
          <w:tcPr>
            <w:tcW w:type="dxa" w:w="4896"/>
          </w:tcPr>
          <w:p>
            <w:r>
              <w:t>Charles Petrini-Poli</w:t>
            </w:r>
          </w:p>
        </w:tc>
      </w:tr>
      <w:tr>
        <w:tc>
          <w:tcPr>
            <w:tcW w:type="dxa" w:w="4896"/>
          </w:tcPr>
          <w:p>
            <w:r>
              <w:t>Founder Seat 2</w:t>
            </w:r>
          </w:p>
        </w:tc>
        <w:tc>
          <w:tcPr>
            <w:tcW w:type="dxa" w:w="4896"/>
          </w:tcPr>
          <w:p>
            <w:r>
              <w:t>Thibaud Peverelli</w:t>
            </w:r>
          </w:p>
        </w:tc>
      </w:tr>
    </w:tbl>
    <w:p>
      <w:r>
        <w:t xml:space="preserve">2.3 </w:t>
      </w:r>
      <w:r>
        <w:rPr>
          <w:b/>
        </w:rPr>
        <w:t>Voting Commitment.</w:t>
      </w:r>
      <w:r>
        <w:t xml:space="preserve"> Each Founder shall vote, or cause to be voted, all shares of Company capital stock owned or controlled by such Founder to elect and maintain Charles and Thibaud as the two directors of the Company.</w:t>
      </w:r>
    </w:p>
    <w:p>
      <w:r>
        <w:t xml:space="preserve">2.4 </w:t>
      </w:r>
      <w:r>
        <w:rPr>
          <w:b/>
        </w:rPr>
        <w:t>Board Size.</w:t>
      </w:r>
      <w:r>
        <w:t xml:space="preserve"> Each Founder shall vote, or cause to be voted, all shares of Company capital stock owned or controlled by such Founder against any proposal to increase or decrease the size of the Board unless both Founders approve the change in writing.</w:t>
      </w:r>
    </w:p>
    <w:p>
      <w:r>
        <w:t xml:space="preserve">2.5 </w:t>
      </w:r>
      <w:r>
        <w:rPr>
          <w:b/>
        </w:rPr>
        <w:t>Removal.</w:t>
      </w:r>
      <w:r>
        <w:t xml:space="preserve"> Each Founder shall vote, or cause to be voted, all shares of Company capital stock owned or controlled by such Founder against the removal of Charles or Thibaud from the Board unless the affected Founder approves such removal in writing.</w:t>
      </w:r>
    </w:p>
    <w:p>
      <w:r>
        <w:t xml:space="preserve">2.6 </w:t>
      </w:r>
      <w:r>
        <w:rPr>
          <w:b/>
        </w:rPr>
        <w:t>Vacancies.</w:t>
      </w:r>
      <w:r>
        <w:t xml:space="preserve"> If Charles's seat becomes vacant, Charles shall have the right to designate a replacement director. If Thibaud's seat becomes vacant, Thibaud shall have the right to designate a replacement director. Each Founder shall vote such Founder's shares to elect the replacement director designated under this Section.</w:t>
      </w:r>
    </w:p>
    <w:p>
      <w:r>
        <w:t xml:space="preserve">2.7 </w:t>
      </w:r>
      <w:r>
        <w:rPr>
          <w:b/>
        </w:rPr>
        <w:t>Future Independent Director.</w:t>
      </w:r>
      <w:r>
        <w:t xml:space="preserve"> The Founders may agree in writing to expand the Board to add one independent director mutually approved by both Founders. Any such expansion shall require approval under this Agreement, the bylaws, and applicable law.</w:t>
      </w:r>
    </w:p>
    <w:p>
      <w:pPr>
        <w:pStyle w:val="Heading1"/>
      </w:pPr>
      <w:r>
        <w:t>3. Board Approval and Reserved Matters</w:t>
      </w:r>
    </w:p>
    <w:p>
      <w:r>
        <w:t xml:space="preserve">3.1 </w:t>
      </w:r>
      <w:r>
        <w:rPr>
          <w:b/>
        </w:rPr>
        <w:t>Board Action.</w:t>
      </w:r>
      <w:r>
        <w:t xml:space="preserve"> For so long as the Board consists of two directors, the bylaws require both directors for quorum and the affirmative vote of both directors for Board action.</w:t>
      </w:r>
    </w:p>
    <w:p>
      <w:r>
        <w:t xml:space="preserve">3.2 </w:t>
      </w:r>
      <w:r>
        <w:rPr>
          <w:b/>
        </w:rPr>
        <w:t>Reserved Matters.</w:t>
      </w:r>
      <w:r>
        <w:t xml:space="preserve"> The Company shall not take, and each Founder shall vote such Founder's shares against, any action listed in the Reserved Matters Schedule unless the approval required by the Reserved Matters Schedule has been obtained.</w:t>
      </w:r>
    </w:p>
    <w:p>
      <w:r>
        <w:t xml:space="preserve">3.3 </w:t>
      </w:r>
      <w:r>
        <w:rPr>
          <w:b/>
        </w:rPr>
        <w:t>No Circumvention.</w:t>
      </w:r>
      <w:r>
        <w:t xml:space="preserve"> The Company shall not delegate authority to any officer, employee, agent, committee, subsidiary, advisor, or other person for the purpose of avoiding the approval requirements in this Agreement or the Reserved Matters Schedule.</w:t>
      </w:r>
    </w:p>
    <w:p>
      <w:pPr>
        <w:pStyle w:val="Heading1"/>
      </w:pPr>
      <w:r>
        <w:t>4. Stockholder Actions</w:t>
      </w:r>
    </w:p>
    <w:p>
      <w:r>
        <w:t xml:space="preserve">4.1 </w:t>
      </w:r>
      <w:r>
        <w:rPr>
          <w:b/>
        </w:rPr>
        <w:t>Voting.</w:t>
      </w:r>
      <w:r>
        <w:t xml:space="preserve"> Each Founder shall vote, or cause to be voted, all shares of Company capital stock owned or controlled by such Founder in accordance with this Agreement.</w:t>
      </w:r>
    </w:p>
    <w:p>
      <w:r>
        <w:t xml:space="preserve">4.2 </w:t>
      </w:r>
      <w:r>
        <w:rPr>
          <w:b/>
        </w:rPr>
        <w:t>Written Consents.</w:t>
      </w:r>
      <w:r>
        <w:t xml:space="preserve"> Each Founder shall execute written consents reasonably necessary to carry out the purposes of this Agreement, including consents to elect or confirm Charles and Thibaud as directors.</w:t>
      </w:r>
    </w:p>
    <w:p>
      <w:r>
        <w:t xml:space="preserve">4.3 </w:t>
      </w:r>
      <w:r>
        <w:rPr>
          <w:b/>
        </w:rPr>
        <w:t>No Inconsistent Agreements.</w:t>
      </w:r>
      <w:r>
        <w:t xml:space="preserve"> No Founder shall enter into any voting trust, proxy, transfer arrangement, or other agreement inconsistent with this Agreement.</w:t>
      </w:r>
    </w:p>
    <w:p>
      <w:pPr>
        <w:pStyle w:val="Heading1"/>
      </w:pPr>
      <w:r>
        <w:t>5. Deadlock</w:t>
      </w:r>
    </w:p>
    <w:p>
      <w:r>
        <w:t xml:space="preserve">5.1 </w:t>
      </w:r>
      <w:r>
        <w:rPr>
          <w:b/>
        </w:rPr>
        <w:t>Deadlock.</w:t>
      </w:r>
      <w:r>
        <w:t xml:space="preserve"> A "Deadlock" occurs when the Board or Founders are unable to approve a matter requiring approval under the bylaws, this Agreement, or the Reserved Matters Schedule.</w:t>
      </w:r>
    </w:p>
    <w:p>
      <w:r>
        <w:t xml:space="preserve">5.2 </w:t>
      </w:r>
      <w:r>
        <w:rPr>
          <w:b/>
        </w:rPr>
        <w:t>Founder Discussion.</w:t>
      </w:r>
      <w:r>
        <w:t xml:space="preserve"> If a Deadlock occurs, the Founders shall meet in good faith within 10 business days to discuss the matter and attempt to resolve it.</w:t>
      </w:r>
    </w:p>
    <w:p>
      <w:r>
        <w:t xml:space="preserve">5.3 </w:t>
      </w:r>
      <w:r>
        <w:rPr>
          <w:b/>
        </w:rPr>
        <w:t>Advisor Consultation.</w:t>
      </w:r>
      <w:r>
        <w:t xml:space="preserve"> If the Deadlock is not resolved within 20 business days after the first Founder discussion, either Founder may request that the Founders jointly consult a mutually agreed independent advisor, attorney, accountant, or industry expert. The advisor's recommendation shall be non-binding unless both Founders agree otherwise in writing.</w:t>
      </w:r>
    </w:p>
    <w:p>
      <w:r>
        <w:t>5.4 Stockholder Vote. If the Deadlock is not resolved after the Founder Discussion and Advisor Consultation steps, either Founder may require the Company to call a special meeting of stockholders or solicit written consent from all stockholders entitled to vote on the matter. The disputed matter shall be submitted to all stockholders, and the vote or written consent of the stockholders shall resolve the Deadlock to the extent permitted by the Delaware General Corporation Law, the certificate of incorporation, the bylaws, and any applicable governance agreement.</w:t>
      </w:r>
    </w:p>
    <w:p>
      <w:pPr/>
      <w:r>
        <w:t>5.5 No Approval if Stockholder Vote Fails or Is Not Available. If the required stockholder approval is not obtained, if the matter is not legally capable of being resolved by stockholder vote, or if the action still requires Board approval that cannot be supplied by stockholder vote or agreement, then the disputed action is not approved and shall not be taken by the Company unless both Founders approve otherwise in writing.</w:t>
      </w:r>
    </w:p>
    <w:p>
      <w:r>
        <w:t>5.6 Ordinary Course. During a Deadlock, the Company's officers may continue ordinary-course operations within authority previously approved by the Board, provided that no reserved matter may be taken without the required approval.</w:t>
      </w:r>
    </w:p>
    <w:p>
      <w:pPr>
        <w:pStyle w:val="Heading1"/>
      </w:pPr>
      <w:r>
        <w:t>6. Transfers</w:t>
      </w:r>
    </w:p>
    <w:p>
      <w:r>
        <w:t xml:space="preserve">6.1 </w:t>
      </w:r>
      <w:r>
        <w:rPr>
          <w:b/>
        </w:rPr>
        <w:t>Joinder Requirement.</w:t>
      </w:r>
      <w:r>
        <w:t xml:space="preserve"> No Founder shall voluntarily transfer any shares of Company capital stock unless the transferee agrees in writing to be bound by this Agreement with respect to the transferred shares, except for transfers approved in writing by both Founders.</w:t>
      </w:r>
    </w:p>
    <w:p>
      <w:r>
        <w:t xml:space="preserve">6.2 </w:t>
      </w:r>
      <w:r>
        <w:rPr>
          <w:b/>
        </w:rPr>
        <w:t>Permitted Estate Planning Transfers.</w:t>
      </w:r>
      <w:r>
        <w:t xml:space="preserve"> A Founder may transfer shares to a trust, estate planning vehicle, or entity controlled by such Founder if the transferee signs a joinder to this Agreement and the transferring Founder continues to control the voting of the transferred shares.</w:t>
      </w:r>
    </w:p>
    <w:p>
      <w:r>
        <w:t xml:space="preserve">6.3 </w:t>
      </w:r>
      <w:r>
        <w:rPr>
          <w:b/>
        </w:rPr>
        <w:t>Legend.</w:t>
      </w:r>
      <w:r>
        <w:t xml:space="preserve"> The Company may place an appropriate notation on its stock ledger stating that shares held by the Founders are subject to this Agreement.</w:t>
      </w:r>
    </w:p>
    <w:p>
      <w:pPr>
        <w:pStyle w:val="Heading1"/>
      </w:pPr>
      <w:r>
        <w:t>7. Information and Records</w:t>
      </w:r>
    </w:p>
    <w:p>
      <w:r>
        <w:t xml:space="preserve">7.1 </w:t>
      </w:r>
      <w:r>
        <w:rPr>
          <w:b/>
        </w:rPr>
        <w:t>Board Materials.</w:t>
      </w:r>
      <w:r>
        <w:t xml:space="preserve"> Each director shall receive notices, agendas, financial reports, and other materials reasonably necessary to participate in Board oversight.</w:t>
      </w:r>
    </w:p>
    <w:p>
      <w:r>
        <w:t xml:space="preserve">7.2 </w:t>
      </w:r>
      <w:r>
        <w:rPr>
          <w:b/>
        </w:rPr>
        <w:t>Company Records.</w:t>
      </w:r>
      <w:r>
        <w:t xml:space="preserve"> The Company shall maintain accurate books, records, minutes, cap table, and stock ledger.</w:t>
      </w:r>
    </w:p>
    <w:p>
      <w:pPr>
        <w:pStyle w:val="Heading1"/>
      </w:pPr>
      <w:r>
        <w:t>8. Term</w:t>
      </w:r>
    </w:p>
    <w:p>
      <w:r>
        <w:t xml:space="preserve">8.1 </w:t>
      </w:r>
      <w:r>
        <w:rPr>
          <w:b/>
        </w:rPr>
        <w:t>Term.</w:t>
      </w:r>
      <w:r>
        <w:t xml:space="preserve"> This Agreement shall remain in effect until terminated under this Section.</w:t>
      </w:r>
    </w:p>
    <w:p>
      <w:r>
        <w:t xml:space="preserve">8.2 </w:t>
      </w:r>
      <w:r>
        <w:rPr>
          <w:b/>
        </w:rPr>
        <w:t>Termination Events.</w:t>
      </w:r>
      <w:r>
        <w:t xml:space="preserve"> This Agreement shall terminate upon the earliest of:</w:t>
      </w:r>
    </w:p>
    <w:p>
      <w:pPr>
        <w:pStyle w:val="ListBullet"/>
      </w:pPr>
      <w:r>
        <w:t>written agreement of the Company and both Founders;</w:t>
      </w:r>
    </w:p>
    <w:p>
      <w:pPr>
        <w:pStyle w:val="ListBullet"/>
      </w:pPr>
      <w:r>
        <w:t>the closing of a sale of all or substantially all of the Company's assets or equity;</w:t>
      </w:r>
    </w:p>
    <w:p>
      <w:pPr>
        <w:pStyle w:val="ListBullet"/>
      </w:pPr>
      <w:r>
        <w:t>the closing of a firm commitment underwritten public offering or direct listing of the Company's capital stock;</w:t>
      </w:r>
    </w:p>
    <w:p>
      <w:pPr>
        <w:pStyle w:val="ListBullet"/>
      </w:pPr>
      <w:r>
        <w:t>the date on which neither Founder holds any shares of Company capital stock.</w:t>
      </w:r>
    </w:p>
    <w:p>
      <w:r>
        <w:t xml:space="preserve">8.3 </w:t>
      </w:r>
      <w:r>
        <w:rPr>
          <w:b/>
        </w:rPr>
        <w:t>Partial Termination.</w:t>
      </w:r>
      <w:r>
        <w:t xml:space="preserve"> If a Founder ceases to hold at least 25% of such Founder's initial shares, that Founder's director designation rights may be terminated by written agreement of the Company and the other Founder, unless otherwise required by law or a separate written agreement.</w:t>
      </w:r>
    </w:p>
    <w:p>
      <w:pPr>
        <w:pStyle w:val="Heading1"/>
      </w:pPr>
      <w:r>
        <w:t>9. Remedies</w:t>
      </w:r>
    </w:p>
    <w:p>
      <w:r>
        <w:t xml:space="preserve">9.1 </w:t>
      </w:r>
      <w:r>
        <w:rPr>
          <w:b/>
        </w:rPr>
        <w:t>Specific Performance.</w:t>
      </w:r>
      <w:r>
        <w:t xml:space="preserve"> The parties agree that monetary damages may be inadequate for breach of this Agreement and that each party shall be entitled to seek specific performance, injunctive relief, and other equitable remedies.</w:t>
      </w:r>
    </w:p>
    <w:p>
      <w:r>
        <w:t xml:space="preserve">9.2 </w:t>
      </w:r>
      <w:r>
        <w:rPr>
          <w:b/>
        </w:rPr>
        <w:t>Invalid Votes.</w:t>
      </w:r>
      <w:r>
        <w:t xml:space="preserve"> Any vote, consent, proxy, transfer, or other action taken in violation of this Agreement shall be ineffective to the maximum extent permitted by law.</w:t>
      </w:r>
    </w:p>
    <w:p>
      <w:pPr>
        <w:pStyle w:val="Heading1"/>
      </w:pPr>
      <w:r>
        <w:t>10. Miscellaneous</w:t>
      </w:r>
    </w:p>
    <w:p>
      <w:r>
        <w:t xml:space="preserve">10.1 </w:t>
      </w:r>
      <w:r>
        <w:rPr>
          <w:b/>
        </w:rPr>
        <w:t>Governing Law.</w:t>
      </w:r>
      <w:r>
        <w:t xml:space="preserve"> This Agreement shall be governed by the laws of the State of Delaware.</w:t>
      </w:r>
    </w:p>
    <w:p>
      <w:r>
        <w:t xml:space="preserve">10.2 </w:t>
      </w:r>
      <w:r>
        <w:rPr>
          <w:b/>
        </w:rPr>
        <w:t>Entire Agreement.</w:t>
      </w:r>
      <w:r>
        <w:t xml:space="preserve"> This Agreement, including the Reserved Matters Schedule attached as Exhibit A, constitutes the entire agreement among the parties regarding its subject matter.</w:t>
      </w:r>
    </w:p>
    <w:p>
      <w:r>
        <w:t xml:space="preserve">10.3 </w:t>
      </w:r>
      <w:r>
        <w:rPr>
          <w:b/>
        </w:rPr>
        <w:t>Amendments.</w:t>
      </w:r>
      <w:r>
        <w:t xml:space="preserve"> This Agreement may be amended only by a written instrument signed by the Company and both Founders.</w:t>
      </w:r>
    </w:p>
    <w:p>
      <w:r>
        <w:t xml:space="preserve">10.4 </w:t>
      </w:r>
      <w:r>
        <w:rPr>
          <w:b/>
        </w:rPr>
        <w:t>Assignment.</w:t>
      </w:r>
      <w:r>
        <w:t xml:space="preserve"> No party may assign this Agreement except in connection with a permitted transfer of shares or a transaction approved in writing by all parties.</w:t>
      </w:r>
    </w:p>
    <w:p>
      <w:r>
        <w:t xml:space="preserve">10.5 </w:t>
      </w:r>
      <w:r>
        <w:rPr>
          <w:b/>
        </w:rPr>
        <w:t>Counterparts; Electronic Signatures.</w:t>
      </w:r>
      <w:r>
        <w:t xml:space="preserve"> This Agreement may be executed in counterparts and by electronic signature.</w:t>
      </w:r>
    </w:p>
    <w:p>
      <w:r>
        <w:t xml:space="preserve">10.6 </w:t>
      </w:r>
      <w:r>
        <w:rPr>
          <w:b/>
        </w:rPr>
        <w:t>Severability.</w:t>
      </w:r>
      <w:r>
        <w:t xml:space="preserve"> If any provision of this Agreement is held invalid or unenforceable, the remaining provisions shall remain in effect to the maximum extent permitted by law.</w:t>
      </w:r>
    </w:p>
    <w:p>
      <w:r>
        <w:t xml:space="preserve">10.7 </w:t>
      </w:r>
      <w:r>
        <w:rPr>
          <w:b/>
        </w:rPr>
        <w:t>Further Assurances.</w:t>
      </w:r>
      <w:r>
        <w:t xml:space="preserve"> Each party shall execute and deliver such additional documents and take such additional actions as reasonably necessary to carry out this Agreement.</w:t>
      </w:r>
    </w:p>
    <w:p>
      <w:pPr>
        <w:pStyle w:val="Heading1"/>
      </w:pPr>
      <w:r>
        <w:t>Signature Page</w:t>
      </w:r>
    </w:p>
    <w:p>
      <w:r>
        <w:t>IN WITNESS WHEREOF, the parties have executed this Founder Voting and Governance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Founders</w:t>
      </w:r>
    </w:p>
    <w:p>
      <w:r>
        <w:t>__________________________________</w:t>
      </w:r>
    </w:p>
    <w:p>
      <w:r>
        <w:t>Charles Petrini-Poli</w:t>
      </w:r>
    </w:p>
    <w:p>
      <w:r>
        <w:t>__________________________________</w:t>
      </w:r>
    </w:p>
    <w:p>
      <w:r>
        <w:t>Thibaud Peverelli</w:t>
      </w:r>
    </w:p>
    <w:p>
      <w:pPr>
        <w:pStyle w:val="Title"/>
        <w:jc w:val="center"/>
      </w:pPr>
      <w:r>
        <w:t>Exhibit A</w:t>
      </w:r>
    </w:p>
    <w:p>
      <w:r>
        <w:t>Reserved Matters Schedule</w:t>
      </w:r>
    </w:p>
    <w:p>
      <w:r>
        <w:t>Attach `07-reserved-matters-schedule.md` as Exhibit 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