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Reserved Matters Schedule</w:t>
      </w:r>
    </w:p>
    <w:p>
      <w:r>
        <w:t>Exhibit A to the Founder Voting and Governance Agreement</w:t>
      </w:r>
    </w:p>
    <w:p>
      <w:r>
        <w:t>Company: Lolo Care, Inc.</w:t>
      </w:r>
    </w:p>
    <w:p>
      <w:r>
        <w:t>Date: June 26, 2026</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$10,000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$10,000;</w:t>
      </w:r>
    </w:p>
    <w:p>
      <w:pPr>
        <w:pStyle w:val="ListBullet"/>
      </w:pPr>
      <w:r>
        <w:t>entering into any contract or statement of work involving payments above $10,000 or a term longer than 12 months;</w:t>
      </w:r>
    </w:p>
    <w:p>
      <w:pPr>
        <w:pStyle w:val="ListBullet"/>
      </w:pPr>
      <w:r>
        <w:t>borrowing money, issuing debt, guaranteeing obligations, or granting liens above $10,000;</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$10,000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