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Restricted Stock Purchase Agreement</w:t>
      </w:r>
    </w:p>
    <w:p>
      <w:r>
        <w:t>This Founder Restricted Stock Purchase Agreement (this "Agreement") is entered into as of June 26, 2026 (the "Effective Date"), by and between Lolo Care, Inc., a Delaware corporation (the "Company"), and Thibaud Peverelli (the "Purchaser").</w:t>
      </w:r>
    </w:p>
    <w:p>
      <w:pPr>
        <w:pStyle w:val="Heading1"/>
      </w:pPr>
      <w:r>
        <w:t>1. Purchase and Sale of Shares</w:t>
      </w:r>
    </w:p>
    <w:p>
      <w:r>
        <w:t>1.1 Sale of Shares. Subject to the terms of this Agreement, the Company hereby sells to the Purchaser, and the Purchaser hereby purchases from the Company, 3,000,000 shares of the Company's Common Stock, par value $0.00001 per share (the "Shares").</w:t>
      </w:r>
    </w:p>
    <w:p>
      <w:r>
        <w:t>1.2 Purchase Price. The purchase price for the Shares is $0.00001 per share, for an aggregate purchase price of $30.00 (the "Purchase Price").</w:t>
      </w:r>
    </w:p>
    <w:p>
      <w:r>
        <w:t>1.3 Payment. The Purchaser shall pay the Purchase Price to the Company by cash, check, wire transfer, or other method approved by the Company. The Company shall record receipt of the Purchase Price in its books and records.</w:t>
      </w:r>
    </w:p>
    <w:p>
      <w:r>
        <w:t>1.4 Closing. The purchase and sale of the Shares shall occur on the Effective Date, or on another date agreed by the Company and the Purchaser (the "Closing"). At the Closing, the Purchaser shall deliver the Purchase Price and the Company shall issue the Shares to the Purchaser.</w:t>
      </w:r>
    </w:p>
    <w:p>
      <w:r>
        <w:t>1.5 Stock Ledger. The Company shall record the issuance of the Shares to the Purchaser in the Company's stock ledger.</w:t>
      </w:r>
    </w:p>
    <w:p>
      <w:pPr>
        <w:pStyle w:val="Heading1"/>
      </w:pPr>
      <w:r>
        <w:t>2. No Vesting or Service-Based Repurchase</w:t>
      </w:r>
    </w:p>
    <w:p>
      <w:r>
        <w:t>2.1 Fully Vested Shares. The Shares shall be fully vested as of the Closing.</w:t>
      </w:r>
    </w:p>
    <w:p>
      <w:r>
        <w:t>2.2 No Company Repurchase Right. The Shares shall not be subject to any company repurchase right, forfeiture provision, reverse vesting schedule, or similar restriction based on the Purchaser's continued employment, consulting relationship, officer status, director status, or other service relationship with the Company.</w:t>
      </w:r>
    </w:p>
    <w:p>
      <w:r>
        <w:t>2.3 Separate Agreements. This Agreement does not restrict the Company and the Purchaser from entering into separate written agreements regarding employment, consulting services, confidentiality, invention assignment, voting, transfer rights, right of first refusal, co-sale rights, drag-along rights, or other stockholder matters.</w:t>
      </w:r>
    </w:p>
    <w:p>
      <w:pPr>
        <w:pStyle w:val="Heading1"/>
      </w:pPr>
      <w:r>
        <w:t>3. Issuance and Evidence of Ownership</w:t>
      </w:r>
    </w:p>
    <w:p>
      <w:r>
        <w:t>3.1 Certificated or Uncertificated Shares. The Company may issue the Shares in certificated or uncertificated form, as determined by the Company.</w:t>
      </w:r>
    </w:p>
    <w:p>
      <w:r>
        <w:t>3.2 Stock Certificate or Notice. If the Shares are certificated, the Company may deliver a stock certificate to the Purchaser. If the Shares are uncertificated, the Company may deliver an uncertificated share notice or electronic confirmation reflecting the Shares.</w:t>
      </w:r>
    </w:p>
    <w:p>
      <w:r>
        <w:t>3.3 Legends. Any certificate or book-entry notation representing the Shares may bear legends or notices substantially similar to the following:</w:t>
      </w:r>
    </w:p>
    <w:p>
      <w:r>
        <w:t>THE SHARES REPRESENTED HEREBY HAVE NOT BEEN REGISTERED UNDER THE SECURITIES ACT OF 1933, AS AMENDED, OR ANY APPLICABLE STATE SECURITIES LAWS. THE SHARES MAY NOT BE SOLD, TRANSFERRED, PLEDGED, OR OTHERWISE DISPOSED OF EXCEPT IN COMPLIANCE WITH APPLICABLE SECURITIES LAWS.</w:t>
      </w:r>
    </w:p>
    <w:p>
      <w:pPr>
        <w:pStyle w:val="Heading1"/>
      </w:pPr>
      <w:r>
        <w:t>4. Purchaser Representations</w:t>
      </w:r>
    </w:p>
    <w:p>
      <w:r>
        <w:t>The Purchaser represents and warrants to the Company as follows:</w:t>
      </w:r>
    </w:p>
    <w:p>
      <w:r>
        <w:t>4.1 Authority. The Purchaser has full legal capacity and authority to enter into this Agreement and to purchase the Shares.</w:t>
      </w:r>
    </w:p>
    <w:p>
      <w:r>
        <w:t>4.2 Investment Intent. The Purchaser is acquiring the Shares for investment for the Purchaser's own account and not with a view to, or for sale in connection with, any distribution of the Shares in violation of applicable securities laws.</w:t>
      </w:r>
    </w:p>
    <w:p>
      <w:r>
        <w:t>4.3 Restricted Securities. The Purchaser understands that the Shares have not been registered under the Securities Act of 1933, as amended, or applicable state securities laws, and that the Shares may not be sold or transferred unless registered or an exemption from registration is available.</w:t>
      </w:r>
    </w:p>
    <w:p>
      <w:r>
        <w:t>4.4 No Public Market. The Purchaser understands that there is no public market for the Shares, that a public market may never develop, and that the Purchaser may be required to hold the Shares indefinitely.</w:t>
      </w:r>
    </w:p>
    <w:p>
      <w:r>
        <w:t>4.5 Access to Information. The Purchaser has had the opportunity to ask questions of the Company and to obtain information the Purchaser considers necessary to evaluate the purchase of the Shares.</w:t>
      </w:r>
    </w:p>
    <w:p>
      <w:r>
        <w:t>4.6 Risk. The Purchaser understands that an investment in the Company involves substantial risk, including the risk of losing the entire Purchase Price.</w:t>
      </w:r>
    </w:p>
    <w:p>
      <w:r>
        <w:t>4.7 Tax Matters. The Purchaser has had the opportunity to consult independent tax advisors regarding the purchase and ownership of the Shares. Because the Shares are not subject to vesting or a service-based forfeiture condition under this Agreement, the Company does not intend for this Agreement to require a Section 83(b) election solely as a result of this Agreement. The Purchaser is solely responsible for determining the Purchaser's tax filing obligations.</w:t>
      </w:r>
    </w:p>
    <w:p>
      <w:r>
        <w:t>4.8 No Brokers. The Purchaser has not engaged any broker, finder, or agent in connection with the purchase of the Shares.</w:t>
      </w:r>
    </w:p>
    <w:p>
      <w:pPr>
        <w:pStyle w:val="Heading1"/>
      </w:pPr>
      <w:r>
        <w:t>5. Company Representations</w:t>
      </w:r>
    </w:p>
    <w:p>
      <w:r>
        <w:t>The Company represents and warrants to the Purchaser as follows:</w:t>
      </w:r>
    </w:p>
    <w:p>
      <w:r>
        <w:t>5.1 Organization. The Company is duly incorporated and validly existing under the laws of the State of Delaware.</w:t>
      </w:r>
    </w:p>
    <w:p>
      <w:r>
        <w:t>5.2 Authority. The Company has the corporate power and authority to enter into this Agreement and to issue the Shares.</w:t>
      </w:r>
    </w:p>
    <w:p>
      <w:r>
        <w:t>5.3 Board Approval. The Company's board of directors has approved the issuance of the Shares to the Purchaser pursuant to this Agreement.</w:t>
      </w:r>
    </w:p>
    <w:p>
      <w:r>
        <w:t>5.4 Valid Issuance. When issued and paid for in accordance with this Agreement, the Shares will be validly issued, fully paid, and nonassessable.</w:t>
      </w:r>
    </w:p>
    <w:p>
      <w:pPr>
        <w:pStyle w:val="Heading1"/>
      </w:pPr>
      <w:r>
        <w:t>6. Transfer Restrictions</w:t>
      </w:r>
    </w:p>
    <w:p>
      <w:r>
        <w:t>6.1 Compliance with Law. The Purchaser shall not sell, assign, transfer, pledge, encumber, or otherwise dispose of any Shares except in compliance with applicable federal and state securities laws.</w:t>
      </w:r>
    </w:p>
    <w:p>
      <w:r>
        <w:t>6.2 Company Records. The Company may refuse to record any transfer of Shares on its stock ledger unless the transfer complies with this Agreement, the Company's certificate of incorporation and bylaws, and applicable law.</w:t>
      </w:r>
    </w:p>
    <w:p>
      <w:r>
        <w:t>6.3 No Additional Transfer Restrictions. Except as set forth in this Agreement, the Company's certificate of incorporation, the Company's bylaws, applicable law, or any separate written agreement signed by the Purchaser, the Shares are not subject to contractual transfer restrictions under this Agreement.</w:t>
      </w:r>
    </w:p>
    <w:p>
      <w:pPr>
        <w:pStyle w:val="Heading1"/>
      </w:pPr>
      <w:r>
        <w:t>7. Confidentiality and Invention Assignment</w:t>
      </w:r>
    </w:p>
    <w:p>
      <w:r>
        <w:t>The Purchaser acknowledges that, as a founder, officer, director, employee, consultant, or other service provider of the Company, the Purchaser may be asked to enter into a separate confidential information, invention assignment, intellectual property assignment, or similar agreement with the Company. This Agreement does not by itself assign intellectual property to the Company.</w:t>
      </w:r>
    </w:p>
    <w:p>
      <w:pPr>
        <w:pStyle w:val="Heading1"/>
      </w:pPr>
      <w:r>
        <w:t>8. Miscellaneous</w:t>
      </w:r>
    </w:p>
    <w:p>
      <w:r>
        <w:t>8.1 Entire Agreement. This Agreement constitutes the entire agreement between the Company and the Purchaser regarding the purchase and sale of the Shares and supersedes all prior understandings regarding that subject matter.</w:t>
      </w:r>
    </w:p>
    <w:p>
      <w:r>
        <w:t>8.2 Amendments. This Agreement may be amended only by a written instrument signed by both the Company and the Purchaser.</w:t>
      </w:r>
    </w:p>
    <w:p>
      <w:r>
        <w:t>8.3 Assignment. The Purchaser may not assign this Agreement without the Company's prior written consent. The Company may assign this Agreement in connection with a merger, consolidation, reorganization, sale of substantially all assets, or similar transaction.</w:t>
      </w:r>
    </w:p>
    <w:p>
      <w:r>
        <w:t>8.4 Governing Law. This Agreement shall be governed by and construed in accordance with the laws of the State of Delaware, without regard to conflict-of-law principles.</w:t>
      </w:r>
    </w:p>
    <w:p>
      <w:r>
        <w:t>8.5 Severability. If any provision of this Agreement is held to be invalid or unenforceable, the remaining provisions shall remain in full force and effect.</w:t>
      </w:r>
    </w:p>
    <w:p>
      <w:r>
        <w:t>8.6 Counterparts; Electronic Signatures. This Agreement may be executed in counterparts, each of which shall be deemed an original, and all of which together shall constitute one instrument. Signatures delivered electronically shall be deemed effective.</w:t>
      </w:r>
    </w:p>
    <w:p>
      <w:r>
        <w:t>8.7 Further Assurances. The Company and the Purchaser shall execute and deliver any additional documents reasonably necessary to carry out the purposes of this Agreement.</w:t>
      </w:r>
    </w:p>
    <w:p>
      <w:pPr>
        <w:pStyle w:val="Heading1"/>
      </w:pPr>
      <w:r>
        <w:t>Signature Page</w:t>
      </w:r>
    </w:p>
    <w:p>
      <w:r>
        <w:t>IN WITNESS WHEREOF, the parties have executed this Founder Restricted Stock Purchase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Purchaser</w:t>
      </w:r>
    </w:p>
    <w:p>
      <w:r>
        <w:t>__________________________________</w:t>
      </w:r>
    </w:p>
    <w:p>
      <w:r>
        <w:t>Thibaud Peverelli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 legal name</w:t>
            </w:r>
          </w:p>
        </w:tc>
        <w:tc>
          <w:tcPr>
            <w:tcW w:type="dxa" w:w="4896"/>
          </w:tcPr>
          <w:p>
            <w:r>
              <w:t>Lolo Care, Inc.</w:t>
            </w:r>
          </w:p>
        </w:tc>
      </w:tr>
      <w:tr>
        <w:tc>
          <w:tcPr>
            <w:tcW w:type="dxa" w:w="4896"/>
          </w:tcPr>
          <w:p>
            <w:r>
              <w:t>State of incorporation</w:t>
            </w:r>
          </w:p>
        </w:tc>
        <w:tc>
          <w:tcPr>
            <w:tcW w:type="dxa" w:w="4896"/>
          </w:tcPr>
          <w:p>
            <w:r>
              <w:t>Delaware</w:t>
            </w:r>
          </w:p>
        </w:tc>
      </w:tr>
      <w:tr>
        <w:tc>
          <w:tcPr>
            <w:tcW w:type="dxa" w:w="4896"/>
          </w:tcPr>
          <w:p>
            <w:r>
              <w:t>Founder legal name</w:t>
            </w:r>
          </w:p>
        </w:tc>
        <w:tc>
          <w:tcPr>
            <w:tcW w:type="dxa" w:w="4896"/>
          </w:tcPr>
          <w:p>
            <w:r>
              <w:t>Thibaud Peverelli</w:t>
            </w:r>
          </w:p>
        </w:tc>
      </w:tr>
      <w:tr>
        <w:tc>
          <w:tcPr>
            <w:tcW w:type="dxa" w:w="4896"/>
          </w:tcPr>
          <w:p>
            <w:r>
              <w:t>Founder address</w:t>
            </w:r>
          </w:p>
        </w:tc>
        <w:tc>
          <w:tcPr>
            <w:tcW w:type="dxa" w:w="4896"/>
          </w:tcPr>
          <w:p>
            <w:r>
              <w:t>39 rue Jean Jacques Moerlen, Barr, 67140, France</w:t>
            </w:r>
          </w:p>
        </w:tc>
      </w:tr>
      <w:tr>
        <w:tc>
          <w:tcPr>
            <w:tcW w:type="dxa" w:w="4896"/>
          </w:tcPr>
          <w:p>
            <w:r>
              <w:t>Number of shares</w:t>
            </w:r>
          </w:p>
        </w:tc>
        <w:tc>
          <w:tcPr>
            <w:tcW w:type="dxa" w:w="4896"/>
          </w:tcPr>
          <w:p>
            <w:r>
              <w:t>3,000,000</w:t>
            </w:r>
          </w:p>
        </w:tc>
      </w:tr>
      <w:tr>
        <w:tc>
          <w:tcPr>
            <w:tcW w:type="dxa" w:w="4896"/>
          </w:tcPr>
          <w:p>
            <w:r>
              <w:t>Class of shares</w:t>
            </w:r>
          </w:p>
        </w:tc>
        <w:tc>
          <w:tcPr>
            <w:tcW w:type="dxa" w:w="4896"/>
          </w:tcPr>
          <w:p>
            <w:r>
              <w:t>Common Stock</w:t>
            </w:r>
          </w:p>
        </w:tc>
      </w:tr>
      <w:tr>
        <w:tc>
          <w:tcPr>
            <w:tcW w:type="dxa" w:w="4896"/>
          </w:tcPr>
          <w:p>
            <w:r>
              <w:t>Par value</w:t>
            </w:r>
          </w:p>
        </w:tc>
        <w:tc>
          <w:tcPr>
            <w:tcW w:type="dxa" w:w="4896"/>
          </w:tcPr>
          <w:p>
            <w:r>
              <w:t>$0.00001</w:t>
            </w:r>
          </w:p>
        </w:tc>
      </w:tr>
      <w:tr>
        <w:tc>
          <w:tcPr>
            <w:tcW w:type="dxa" w:w="4896"/>
          </w:tcPr>
          <w:p>
            <w:r>
              <w:t>Purchase price per share</w:t>
            </w:r>
          </w:p>
        </w:tc>
        <w:tc>
          <w:tcPr>
            <w:tcW w:type="dxa" w:w="4896"/>
          </w:tcPr>
          <w:p>
            <w:r>
              <w:t>$0.00001</w:t>
            </w:r>
          </w:p>
        </w:tc>
      </w:tr>
      <w:tr>
        <w:tc>
          <w:tcPr>
            <w:tcW w:type="dxa" w:w="4896"/>
          </w:tcPr>
          <w:p>
            <w:r>
              <w:t>Aggregate purchase price</w:t>
            </w:r>
          </w:p>
        </w:tc>
        <w:tc>
          <w:tcPr>
            <w:tcW w:type="dxa" w:w="4896"/>
          </w:tcPr>
          <w:p>
            <w:r>
              <w:t>$30.00</w:t>
            </w:r>
          </w:p>
        </w:tc>
      </w:tr>
      <w:tr>
        <w:tc>
          <w:tcPr>
            <w:tcW w:type="dxa" w:w="4896"/>
          </w:tcPr>
          <w:p>
            <w:r>
              <w:t>Date of board approval</w:t>
            </w:r>
          </w:p>
        </w:tc>
        <w:tc>
          <w:tcPr>
            <w:tcW w:type="dxa" w:w="4896"/>
          </w:tcPr>
          <w:p>
            <w:r>
              <w:t>June 26, 2026</w:t>
            </w:r>
          </w:p>
        </w:tc>
      </w:tr>
      <w:tr>
        <w:tc>
          <w:tcPr>
            <w:tcW w:type="dxa" w:w="4896"/>
          </w:tcPr>
          <w:p>
            <w:r>
              <w:t>Closing date</w:t>
            </w:r>
          </w:p>
        </w:tc>
        <w:tc>
          <w:tcPr>
            <w:tcW w:type="dxa" w:w="4896"/>
          </w:tcPr>
          <w:p>
            <w:r>
              <w:t>June 26, 2026</w:t>
            </w:r>
          </w:p>
        </w:tc>
      </w:tr>
      <w:tr>
        <w:tc>
          <w:tcPr>
            <w:tcW w:type="dxa" w:w="4896"/>
          </w:tcPr>
          <w:p>
            <w:r>
              <w:t>Certificate number or ledger entry ID</w:t>
            </w:r>
          </w:p>
        </w:tc>
        <w:tc>
          <w:tcPr>
            <w:tcW w:type="dxa" w:w="4896"/>
          </w:tcPr>
          <w:p>
            <w:r>
              <w:t>CS-002</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