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4F6FAF"/>
                <w:sz w:val="16"/>
              </w:rPr>
              <w:t>INVESTOR VALUATION MEMO</w:t>
            </w:r>
          </w:p>
          <w:p>
            <w:pPr>
              <w:spacing w:after="80"/>
            </w:pPr>
            <w:r>
              <w:rPr>
                <w:rFonts w:ascii="Georgia" w:hAnsi="Georgia"/>
                <w:b/>
                <w:color w:val="0F3D3E"/>
                <w:sz w:val="52"/>
              </w:rPr>
              <w:t>$4M Pre-Money Valuation Justification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23A39"/>
                <w:sz w:val="21"/>
              </w:rPr>
              <w:t>HomeCare HUB is pre-revenue, but not pre-execution. This memo frames the valuation through market benchmarks, investor ownership math, founder replacement cost, and the strategic value already created before outside funding.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space="0" w:color="0F3D3E"/>
              <w:left w:val="single" w:sz="8" w:space="0" w:color="0F3D3E"/>
              <w:bottom w:val="single" w:sz="8" w:space="0" w:color="0F3D3E"/>
              <w:right w:val="single" w:sz="8" w:space="0" w:color="0F3D3E"/>
            </w:tcBorders>
            <w:shd w:fill="0F3D3E"/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ROUND</w:t>
            </w:r>
          </w:p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FFFFFF"/>
                <w:sz w:val="36"/>
              </w:rPr>
              <w:t>$250K Seed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PRE-MONEY</w:t>
            </w:r>
          </w:p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FFFFFF"/>
                <w:sz w:val="34"/>
              </w:rPr>
              <w:t>$4.0M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C8D8D4"/>
                <w:sz w:val="14"/>
              </w:rPr>
              <w:t>INVESTOR OWNERSHIP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FFFFFF"/>
                <w:sz w:val="34"/>
              </w:rPr>
              <w:t>5.88%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CF8"/>
            <w:tcBorders>
              <w:top w:val="single" w:sz="8" w:space="0" w:color="DDD2C5"/>
              <w:left w:val="single" w:sz="8" w:space="0" w:color="DDD2C5"/>
              <w:bottom w:val="single" w:sz="8" w:space="0" w:color="DDD2C5"/>
              <w:right w:val="single" w:sz="8" w:space="0" w:color="DDD2C5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F3D3E"/>
                <w:sz w:val="20"/>
              </w:rPr>
              <w:t xml:space="preserve">Core thesis: </w:t>
            </w:r>
            <w:r>
              <w:rPr>
                <w:rFonts w:ascii="Aptos" w:hAnsi="Aptos"/>
                <w:b w:val="0"/>
                <w:i w:val="0"/>
                <w:color w:val="223A39"/>
                <w:sz w:val="20"/>
              </w:rPr>
              <w:t>The valuation is not based on current revenue. It is based on a risk-adjusted pre-seed entry point for a company that has already created meaningful launch assets: a defined North Carolina strategy, early caregiver supply, a clear non-medical marketplace model, transparent pricing, investor-ready planning, and a launch-ready product foundation.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1. Pre-Revenue, But Not Pre-Execution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223A39"/>
          <w:sz w:val="18"/>
        </w:rPr>
        <w:t>The correct response to the pre-revenue pushback is to acknowledge the risk and then show what has already been de-risked. HomeCare HUB is not being priced like a company with national traction or product-market fit; it is being priced as an early execution asset with meaningful work already completed.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Defined North Carolina launch strategy and private-pay non-medical service scope.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Early caregiver-side supply and operating thesis before launch capital.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Clear pricing: $30/hour day and $37.50/hour night, with a 10% platform fee plus 3% payment processing pass-through.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Competitive wedge against agencies, broad marketplaces, and task/delivery apps.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Launch-ready product foundation built before institutional capital.</w:t>
      </w:r>
    </w:p>
    <w:p>
      <w:pPr>
        <w:pStyle w:val="ListBullet"/>
        <w:spacing w:after="40"/>
        <w:ind w:left="360" w:hanging="187"/>
      </w:pPr>
      <w:r>
        <w:rPr>
          <w:rFonts w:ascii="Aptos" w:hAnsi="Aptos"/>
          <w:color w:val="223A39"/>
          <w:sz w:val="17"/>
        </w:rPr>
        <w:t>Planned product roadmap: mobile app, electronic visit records, family updates, and AI-enabled shift monitoring.</w:t>
      </w:r>
    </w:p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2. Market Benchmark: $4M Is Conservative vs. Pre-Seed Data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223A39"/>
          <w:sz w:val="18"/>
        </w:rPr>
        <w:t>Carta reported that in Q2 2025, median pre-seed SAFE valuation caps were $7.5M for rounds under $250K and $10M for rounds between $250K-$500K. HomeCare HUB is proposing a $4M pre-money valuation, which is materially below those benchmarks and therefore prices in the remaining pre-revenue risk.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Benchmark</w:t>
            </w:r>
          </w:p>
        </w:tc>
        <w:tc>
          <w:tcPr>
            <w:tcW w:type="dxa" w:w="15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Amount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Computation</w:t>
            </w:r>
          </w:p>
        </w:tc>
        <w:tc>
          <w:tcPr>
            <w:tcW w:type="dxa" w:w="295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5"/>
              </w:rPr>
              <w:t>Carta median cap, rounds under $250K</w:t>
            </w:r>
          </w:p>
        </w:tc>
        <w:tc>
          <w:tcPr>
            <w:tcW w:type="dxa" w:w="15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5"/>
              </w:rPr>
              <w:t>$7.5M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5"/>
              </w:rPr>
              <w:t>($7.5M - $4.0M) / $7.5M = 46.7%</w:t>
            </w:r>
          </w:p>
        </w:tc>
        <w:tc>
          <w:tcPr>
            <w:tcW w:type="dxa" w:w="295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5"/>
              </w:rPr>
              <w:t>$4M is a 46.7% discount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5"/>
              </w:rPr>
              <w:t>Carta median cap, $250K-$500K rounds</w:t>
            </w:r>
          </w:p>
        </w:tc>
        <w:tc>
          <w:tcPr>
            <w:tcW w:type="dxa" w:w="15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5"/>
              </w:rPr>
              <w:t>$10.0M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5"/>
              </w:rPr>
              <w:t>($10.0M - $4.0M) / $10.0M = 60.0%</w:t>
            </w:r>
          </w:p>
        </w:tc>
        <w:tc>
          <w:tcPr>
            <w:tcW w:type="dxa" w:w="2951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5"/>
              </w:rPr>
              <w:t>$4M is a 60.0% discount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3. Investor Ownership Math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3FF"/>
            <w:tcBorders>
              <w:top w:val="single" w:sz="8" w:space="0" w:color="C8D5F0"/>
              <w:left w:val="single" w:sz="8" w:space="0" w:color="C8D5F0"/>
              <w:bottom w:val="single" w:sz="8" w:space="0" w:color="C8D5F0"/>
              <w:right w:val="single" w:sz="8" w:space="0" w:color="C8D5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80"/>
            </w:pPr>
            <w:r>
              <w:rPr>
                <w:rFonts w:ascii="Aptos" w:hAnsi="Aptos"/>
                <w:b/>
                <w:i w:val="0"/>
                <w:color w:val="0F3D3E"/>
                <w:sz w:val="20"/>
              </w:rPr>
              <w:t>$4,000,000 pre-money + $250,000 investment = $4,250,000 post-money</w:t>
            </w:r>
          </w:p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0F3D3E"/>
                <w:sz w:val="20"/>
              </w:rPr>
              <w:t>$250,000 / $4,250,000 = 5.88% investor ownership</w:t>
            </w:r>
          </w:p>
        </w:tc>
      </w:tr>
    </w:tbl>
    <w:p>
      <w:pPr>
        <w:spacing w:before="0" w:after="100"/>
      </w:pPr>
      <w:r>
        <w:rPr>
          <w:rFonts w:ascii="Aptos" w:hAnsi="Aptos"/>
          <w:b w:val="0"/>
          <w:i w:val="0"/>
          <w:color w:val="223A39"/>
          <w:sz w:val="18"/>
        </w:rPr>
        <w:t>At this valuation, the investor receives a meaningful 5.88% ownership position before North Carolina launch traction and before a potential multi-state expansion round.</w:t>
      </w:r>
    </w:p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4. Founder Replacement-Cost Logic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223A39"/>
          <w:sz w:val="18"/>
        </w:rPr>
        <w:t>The founding team has already contributed work that would have required substantial cash expense if outsourced before funding. This matters because the company avoided paying market-rate leadership, sales, fundraising, CTO, and development costs while still creating a launch-ready asset.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CC8F34"/>
              <w:left w:val="single" w:sz="5" w:space="0" w:color="CC8F34"/>
              <w:bottom w:val="single" w:sz="5" w:space="0" w:color="CC8F34"/>
              <w:right w:val="single" w:sz="5" w:space="0" w:color="CC8F34"/>
            </w:tcBorders>
            <w:vAlign w:val="top"/>
            <w:shd w:fill="CC8F34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Workstream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CC8F34"/>
              <w:left w:val="single" w:sz="5" w:space="0" w:color="CC8F34"/>
              <w:bottom w:val="single" w:sz="5" w:space="0" w:color="CC8F34"/>
              <w:right w:val="single" w:sz="5" w:space="0" w:color="CC8F34"/>
            </w:tcBorders>
            <w:vAlign w:val="top"/>
            <w:shd w:fill="CC8F34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External Benchmark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CC8F34"/>
              <w:left w:val="single" w:sz="5" w:space="0" w:color="CC8F34"/>
              <w:bottom w:val="single" w:sz="5" w:space="0" w:color="CC8F34"/>
              <w:right w:val="single" w:sz="5" w:space="0" w:color="CC8F34"/>
            </w:tcBorders>
            <w:vAlign w:val="top"/>
            <w:shd w:fill="CC8F34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Assumption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CC8F34"/>
              <w:left w:val="single" w:sz="5" w:space="0" w:color="CC8F34"/>
              <w:bottom w:val="single" w:sz="5" w:space="0" w:color="CC8F34"/>
              <w:right w:val="single" w:sz="5" w:space="0" w:color="CC8F34"/>
            </w:tcBorders>
            <w:vAlign w:val="top"/>
            <w:shd w:fill="CC8F34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Replacement Cost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CEO: strategy / company leadership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BLS Chief Executive mean wage: $262,930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50% allocation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$131,465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CEO: sales / GTM leadership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BLS Sales Manager mean wage: $160,930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50% allocation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$80,465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CEO: fundraising / capital formation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BLS Fundraising Manager mean wage: $137,290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25% allocation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$34,323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CEO subtotal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$246,253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CTO: technical strategy / product leadership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Salary.com CTO average salary: $309,474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50% allocation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$154,737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CTO: actual software / product development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BLS Software Developer median wage: $133,080</w:t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100% allocation</w:t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$133,080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CTO subtotal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$287,817</w:t>
            </w:r>
          </w:p>
        </w:tc>
      </w:tr>
      <w:tr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Combined founder replacement salary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18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</w:r>
          </w:p>
        </w:tc>
        <w:tc>
          <w:tcPr>
            <w:tcW w:type="dxa" w:w="201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$534,070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5. Loaded Employer-Cost Adjustment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223A39"/>
          <w:sz w:val="18"/>
        </w:rPr>
        <w:t>Salary alone understates replacement cost. BLS Employer Costs for Employee Compensation data shows that private-industry wages represent 70.1% of total employer compensation, while benefits and employer costs represent 29.9%.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EF"/>
            <w:tcBorders>
              <w:top w:val="single" w:sz="8" w:space="0" w:color="C9DCD3"/>
              <w:left w:val="single" w:sz="8" w:space="0" w:color="C9DCD3"/>
              <w:bottom w:val="single" w:sz="8" w:space="0" w:color="C9DCD3"/>
              <w:right w:val="single" w:sz="8" w:space="0" w:color="C9DCD3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ptos" w:hAnsi="Aptos"/>
                <w:b/>
                <w:i w:val="0"/>
                <w:color w:val="0F3D3E"/>
                <w:sz w:val="26"/>
              </w:rPr>
              <w:t>$534,070 / 70.1% = ~$761,869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223A39"/>
                <w:sz w:val="17"/>
              </w:rPr>
              <w:t>Approximate loaded annual cost to replace CEO + CTO contributions externally.</w:t>
            </w:r>
          </w:p>
        </w:tc>
      </w:tr>
    </w:tbl>
    <w:p>
      <w:pPr>
        <w:spacing w:before="0" w:after="100"/>
      </w:pPr>
      <w:r>
        <w:rPr>
          <w:rFonts w:ascii="Aptos" w:hAnsi="Aptos"/>
          <w:b w:val="0"/>
          <w:i/>
          <w:color w:val="6A7473"/>
          <w:sz w:val="17"/>
        </w:rPr>
        <w:t>This estimate does not include recruiting costs, contractor or agency markups, product management overhead, legal and compliance work, founder opportunity cost, or execution risk carried before funding.</w:t>
      </w:r>
    </w:p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6. Founder Equity Justification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Holder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Pre-Money %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Implied Pre-Money Value</w:t>
            </w:r>
          </w:p>
        </w:tc>
        <w:tc>
          <w:tcPr>
            <w:tcW w:type="dxa" w:w="51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0F3D3E"/>
              <w:left w:val="single" w:sz="5" w:space="0" w:color="0F3D3E"/>
              <w:bottom w:val="single" w:sz="5" w:space="0" w:color="0F3D3E"/>
              <w:right w:val="single" w:sz="5" w:space="0" w:color="0F3D3E"/>
            </w:tcBorders>
            <w:vAlign w:val="top"/>
            <w:shd w:fill="0F3D3E"/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Rationale</w:t>
            </w:r>
          </w:p>
        </w:tc>
      </w:tr>
      <w:t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CEO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60%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$2,400,000</w:t>
            </w:r>
          </w:p>
        </w:tc>
        <w:tc>
          <w:tcPr>
            <w:tcW w:type="dxa" w:w="51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Commercial vision, sales work, GTM, fundraising, partnerships, regulatory strategy, investor narrative, company-building risk.</w:t>
            </w:r>
          </w:p>
        </w:tc>
      </w:tr>
      <w:t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CTO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30%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$1,200,000</w:t>
            </w:r>
          </w:p>
        </w:tc>
        <w:tc>
          <w:tcPr>
            <w:tcW w:type="dxa" w:w="51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Technical strategy, architecture, product direction, infrastructure, and actual development work that created the launch-ready product.</w:t>
            </w:r>
          </w:p>
        </w:tc>
      </w:tr>
      <w:t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ESOP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10%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$400,000</w:t>
            </w:r>
          </w:p>
        </w:tc>
        <w:tc>
          <w:tcPr>
            <w:tcW w:type="dxa" w:w="51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CF8"/>
          </w:tcPr>
          <w:p>
            <w:r>
              <w:rPr>
                <w:rFonts w:ascii="Aptos" w:hAnsi="Aptos"/>
                <w:color w:val="223A39"/>
                <w:sz w:val="14"/>
              </w:rPr>
              <w:t>Reserve for future hires across product, growth, operations, compliance, and support.</w:t>
            </w:r>
          </w:p>
        </w:tc>
      </w:tr>
      <w:t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Total</w:t>
            </w:r>
          </w:p>
        </w:tc>
        <w:tc>
          <w:tcPr>
            <w:tcW w:type="dxa" w:w="15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100%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$4,000,000</w:t>
            </w:r>
          </w:p>
        </w:tc>
        <w:tc>
          <w:tcPr>
            <w:tcW w:type="dxa" w:w="511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5" w:space="0" w:color="DDD2C5"/>
              <w:left w:val="single" w:sz="5" w:space="0" w:color="DDD2C5"/>
              <w:bottom w:val="single" w:sz="5" w:space="0" w:color="DDD2C5"/>
              <w:right w:val="single" w:sz="5" w:space="0" w:color="DDD2C5"/>
            </w:tcBorders>
            <w:vAlign w:val="top"/>
            <w:shd w:fill="FFFFFF"/>
          </w:tcPr>
          <w:p>
            <w:r>
              <w:rPr>
                <w:rFonts w:ascii="Aptos" w:hAnsi="Aptos"/>
                <w:color w:val="223A39"/>
                <w:sz w:val="14"/>
              </w:rPr>
              <w:t>Pre-money capitalization before the seed investment.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7. Investor-Ready Paragraph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CF8"/>
            <w:tcBorders>
              <w:top w:val="single" w:sz="8" w:space="0" w:color="DDD2C5"/>
              <w:left w:val="single" w:sz="8" w:space="0" w:color="DDD2C5"/>
              <w:bottom w:val="single" w:sz="8" w:space="0" w:color="DDD2C5"/>
              <w:right w:val="single" w:sz="8" w:space="0" w:color="DDD2C5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23A39"/>
                <w:sz w:val="18"/>
              </w:rPr>
              <w:t>HomeCare HUB is pre-revenue, but not pre-execution. The company has already created meaningful launch assets before outside capital, including a defined North Carolina launch strategy, early caregiver supply, a clear non-medical marketplace model, transparent pricing, investor-ready planning, and a launch-ready product foundation. The proposed $4M pre-money valuation is deliberately risk-adjusted: it is materially below current pre-seed market benchmarks while still recognizing the assets already built. Using external wage benchmarks, the CEO?s work across strategy, sales, GTM, fundraising, partnerships, and company-building represents roughly $246K of annual replacement salary. The CTO?s contribution is better benchmarked against CTO-level compensation, not generic IT-manager compensation: Salary.com reports average U.S. CTO salary at approximately $309K/year, and when combined with the actual software development work already performed, the CTO contribution represents roughly $288K of annual replacement salary. Together, the CEO and CTO contributions represent approximately $534K in annual salary replacement cost, or about $762K on a loaded employer-cost basis using BLS compensation data. In that context, the CEO?s 60% and CTO?s 30% pre-money ownership reflect the real commercial, strategic, technical, and product value already contributed before funding, while the $4M pre-money valuation gives seed investors meaningful upside before North Carolina traction and future multi-state expansion.</w:t>
            </w:r>
          </w:p>
        </w:tc>
      </w:tr>
    </w:tbl>
    <w:p>
      <w:pPr>
        <w:spacing w:before="200" w:after="80"/>
      </w:pPr>
      <w:r>
        <w:rPr>
          <w:rFonts w:ascii="Georgia" w:hAnsi="Georgia"/>
          <w:b/>
          <w:color w:val="0F3D3E"/>
          <w:sz w:val="30"/>
        </w:rPr>
        <w:t>Sources</w:t>
      </w:r>
    </w:p>
    <w:p>
      <w:pPr>
        <w:spacing w:after="40"/>
      </w:pPr>
      <w:r>
        <w:rPr>
          <w:rFonts w:ascii="Aptos" w:hAnsi="Aptos"/>
          <w:b/>
          <w:i w:val="0"/>
          <w:color w:val="0F3D3E"/>
          <w:sz w:val="16"/>
        </w:rPr>
        <w:t xml:space="preserve">Carta State of Pre-Seed Q2 2025: </w:t>
      </w:r>
      <w:hyperlink r:id="rId11">
        <w:r>
          <w:rPr>
            <w:color w:val="4F6FAF"/>
            <w:u w:val="single"/>
          </w:rPr>
          <w:t>https://carta.com/data/state-of-pre-seed-q2-2025/</w:t>
        </w:r>
      </w:hyperlink>
    </w:p>
    <w:p>
      <w:pPr>
        <w:spacing w:after="40"/>
      </w:pPr>
      <w:r>
        <w:rPr>
          <w:rFonts w:ascii="Aptos" w:hAnsi="Aptos"/>
          <w:b/>
          <w:i w:val="0"/>
          <w:color w:val="0F3D3E"/>
          <w:sz w:val="16"/>
        </w:rPr>
        <w:t xml:space="preserve">Salary.com Chief Technology Officer Salary: </w:t>
      </w:r>
      <w:hyperlink r:id="rId12">
        <w:r>
          <w:rPr>
            <w:color w:val="4F6FAF"/>
            <w:u w:val="single"/>
          </w:rPr>
          <w:t>https://www.salary.com/research/salary/benchmark/chief-technology-officer-salary</w:t>
        </w:r>
      </w:hyperlink>
    </w:p>
    <w:p>
      <w:pPr>
        <w:spacing w:after="40"/>
      </w:pPr>
      <w:r>
        <w:rPr>
          <w:rFonts w:ascii="Aptos" w:hAnsi="Aptos"/>
          <w:b/>
          <w:i w:val="0"/>
          <w:color w:val="0F3D3E"/>
          <w:sz w:val="16"/>
        </w:rPr>
        <w:t xml:space="preserve">BLS Occupational Employment and Wages - May 2024: </w:t>
      </w:r>
      <w:hyperlink r:id="rId13">
        <w:r>
          <w:rPr>
            <w:color w:val="4F6FAF"/>
            <w:u w:val="single"/>
          </w:rPr>
          <w:t>https://www.bls.gov/news.release/pdf/ocwage.pdf</w:t>
        </w:r>
      </w:hyperlink>
    </w:p>
    <w:p>
      <w:pPr>
        <w:spacing w:after="40"/>
      </w:pPr>
      <w:r>
        <w:rPr>
          <w:rFonts w:ascii="Aptos" w:hAnsi="Aptos"/>
          <w:b/>
          <w:i w:val="0"/>
          <w:color w:val="0F3D3E"/>
          <w:sz w:val="16"/>
        </w:rPr>
        <w:t xml:space="preserve">BLS Software Developers Occupational Outlook Handbook: </w:t>
      </w:r>
      <w:hyperlink r:id="rId14">
        <w:r>
          <w:rPr>
            <w:color w:val="4F6FAF"/>
            <w:u w:val="single"/>
          </w:rPr>
          <w:t>https://www.bls.gov/ooh/computer-and-information-technology/software-developers.htm</w:t>
        </w:r>
      </w:hyperlink>
    </w:p>
    <w:p>
      <w:pPr>
        <w:spacing w:after="40"/>
      </w:pPr>
      <w:r>
        <w:rPr>
          <w:rFonts w:ascii="Aptos" w:hAnsi="Aptos"/>
          <w:b/>
          <w:i w:val="0"/>
          <w:color w:val="0F3D3E"/>
          <w:sz w:val="16"/>
        </w:rPr>
        <w:t xml:space="preserve">BLS Employer Costs for Employee Compensation: </w:t>
      </w:r>
      <w:hyperlink r:id="rId15">
        <w:r>
          <w:rPr>
            <w:color w:val="4F6FAF"/>
            <w:u w:val="single"/>
          </w:rPr>
          <w:t>https://www.bls.gov/news.release/pdf/ecec.pdf</w:t>
        </w:r>
      </w:hyperlink>
    </w:p>
    <w:p>
      <w:pPr>
        <w:spacing w:before="120" w:after="0"/>
      </w:pPr>
      <w:r>
        <w:rPr>
          <w:rFonts w:ascii="Aptos" w:hAnsi="Aptos"/>
          <w:b/>
          <w:i w:val="0"/>
          <w:color w:val="0F3D3E"/>
          <w:sz w:val="14"/>
        </w:rPr>
        <w:t xml:space="preserve">Note: </w:t>
      </w:r>
      <w:r>
        <w:rPr>
          <w:rFonts w:ascii="Aptos" w:hAnsi="Aptos"/>
          <w:b w:val="0"/>
          <w:i w:val="0"/>
          <w:color w:val="6A7473"/>
          <w:sz w:val="14"/>
        </w:rPr>
        <w:t>This memo is a valuation narrative for fundraising discussion purposes only. It is not a formal 409A valuation, fairness opinion, investment recommendation, legal opinion, tax advice, or securities offering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A7473"/>
        <w:sz w:val="13"/>
      </w:rPr>
      <w:t>Discussion draft only - not valuation, legal, tax, accounting, or securities advice.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A7473"/>
        <w:sz w:val="14"/>
      </w:rPr>
      <w:t>HomeCare HUB | Valuation Justification | May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3A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rta.com/data/state-of-pre-seed-q2-2025/" TargetMode="External"/><Relationship Id="rId12" Type="http://schemas.openxmlformats.org/officeDocument/2006/relationships/hyperlink" Target="https://www.salary.com/research/salary/benchmark/chief-technology-officer-salary" TargetMode="External"/><Relationship Id="rId13" Type="http://schemas.openxmlformats.org/officeDocument/2006/relationships/hyperlink" Target="https://www.bls.gov/news.release/pdf/ocwage.pdf" TargetMode="External"/><Relationship Id="rId14" Type="http://schemas.openxmlformats.org/officeDocument/2006/relationships/hyperlink" Target="https://www.bls.gov/ooh/computer-and-information-technology/software-developers.htm" TargetMode="External"/><Relationship Id="rId15" Type="http://schemas.openxmlformats.org/officeDocument/2006/relationships/hyperlink" Target="https://www.bls.gov/news.release/pdf/ece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