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256"/>
        <w:gridCol w:w="5256"/>
      </w:tblGrid>
      <w:tr>
        <w:tc>
          <w:tcPr>
            <w:tcW w:type="dxa" w:w="7200"/>
            <w:tcBorders>
              <w:top w:val="single" w:sz="0" w:space="0" w:color="FFFFFF"/>
              <w:left w:val="single" w:sz="0" w:space="0" w:color="FFFFFF"/>
              <w:bottom w:val="single" w:sz="0" w:space="0" w:color="FFFFFF"/>
              <w:right w:val="single" w:sz="0" w:space="0" w:color="FFFFFF"/>
            </w:tcBorders>
            <w:tcMar>
              <w:top w:w="90" w:type="dxa"/>
              <w:start w:w="100" w:type="dxa"/>
              <w:bottom w:w="90" w:type="dxa"/>
              <w:end w:w="100" w:type="dxa"/>
            </w:tcMar>
          </w:tcPr>
          <w:p>
            <w:pPr>
              <w:spacing w:before="0" w:after="0"/>
            </w:pPr>
            <w:r>
              <w:rPr>
                <w:rFonts w:ascii="Aptos" w:hAnsi="Aptos"/>
                <w:b/>
                <w:i w:val="0"/>
                <w:color w:val="4F6FAF"/>
                <w:sz w:val="16"/>
              </w:rPr>
              <w:t>90-DAY EXECUTION PLAN</w:t>
            </w:r>
          </w:p>
          <w:p>
            <w:pPr>
              <w:spacing w:after="80"/>
            </w:pPr>
            <w:r>
              <w:rPr>
                <w:rFonts w:ascii="Georgia" w:hAnsi="Georgia"/>
                <w:b/>
                <w:color w:val="0F3D3E"/>
                <w:sz w:val="54"/>
              </w:rPr>
              <w:t>Marketing &amp; Branding Launch Plan</w:t>
            </w:r>
          </w:p>
          <w:p>
            <w:pPr>
              <w:spacing w:before="0" w:after="0"/>
            </w:pPr>
            <w:r>
              <w:rPr>
                <w:rFonts w:ascii="Aptos" w:hAnsi="Aptos"/>
                <w:b w:val="0"/>
                <w:i w:val="0"/>
                <w:color w:val="223A39"/>
                <w:sz w:val="21"/>
              </w:rPr>
              <w:t>North Carolina launch plan focused on trust, local awareness, referral partnerships, and measurable offline demand generation. Built for a $250K seed-funded launch while preserving runway.</w:t>
            </w:r>
          </w:p>
        </w:tc>
        <w:tc>
          <w:tcPr>
            <w:tcW w:type="dxa" w:w="3096"/>
            <w:tcBorders>
              <w:top w:val="single" w:sz="8" w:space="0" w:color="0F3D3E"/>
              <w:left w:val="single" w:sz="8" w:space="0" w:color="0F3D3E"/>
              <w:bottom w:val="single" w:sz="8" w:space="0" w:color="0F3D3E"/>
              <w:right w:val="single" w:sz="8" w:space="0" w:color="0F3D3E"/>
            </w:tcBorders>
            <w:tcMar>
              <w:top w:w="90" w:type="dxa"/>
              <w:start w:w="100" w:type="dxa"/>
              <w:bottom w:w="90" w:type="dxa"/>
              <w:end w:w="100" w:type="dxa"/>
            </w:tcMar>
            <w:shd w:fill="0F3D3E"/>
          </w:tcPr>
          <w:p>
            <w:pPr>
              <w:spacing w:before="0" w:after="0"/>
            </w:pPr>
            <w:r>
              <w:rPr>
                <w:rFonts w:ascii="Aptos" w:hAnsi="Aptos"/>
                <w:b/>
                <w:i w:val="0"/>
                <w:color w:val="C8D8D4"/>
                <w:sz w:val="14"/>
              </w:rPr>
              <w:t>RECOMMENDED 90-DAY BUDGET</w:t>
            </w:r>
          </w:p>
          <w:p>
            <w:pPr>
              <w:spacing w:before="0" w:after="80"/>
            </w:pPr>
            <w:r>
              <w:rPr>
                <w:rFonts w:ascii="Aptos" w:hAnsi="Aptos"/>
                <w:b/>
                <w:i w:val="0"/>
                <w:color w:val="FFFFFF"/>
                <w:sz w:val="44"/>
              </w:rPr>
              <w:t>$68,000</w:t>
            </w:r>
          </w:p>
          <w:p>
            <w:pPr>
              <w:spacing w:before="0" w:after="0"/>
            </w:pPr>
            <w:r>
              <w:rPr>
                <w:rFonts w:ascii="Aptos" w:hAnsi="Aptos"/>
                <w:b/>
                <w:i w:val="0"/>
                <w:color w:val="C8D8D4"/>
                <w:sz w:val="14"/>
              </w:rPr>
              <w:t>PRIMARY GOAL</w:t>
            </w:r>
          </w:p>
          <w:p>
            <w:pPr>
              <w:spacing w:before="0" w:after="80"/>
            </w:pPr>
            <w:r>
              <w:rPr>
                <w:rFonts w:ascii="Aptos" w:hAnsi="Aptos"/>
                <w:b/>
                <w:i w:val="0"/>
                <w:color w:val="FFFFFF"/>
                <w:sz w:val="26"/>
              </w:rPr>
              <w:t>Prove NC demand</w:t>
            </w:r>
          </w:p>
          <w:p>
            <w:pPr>
              <w:spacing w:before="0" w:after="0"/>
            </w:pPr>
            <w:r>
              <w:rPr>
                <w:rFonts w:ascii="Aptos" w:hAnsi="Aptos"/>
                <w:b/>
                <w:i w:val="0"/>
                <w:color w:val="C8D8D4"/>
                <w:sz w:val="14"/>
              </w:rPr>
              <w:t>OPERATING PRINCIPLE</w:t>
            </w:r>
          </w:p>
          <w:p>
            <w:pPr>
              <w:spacing w:before="0" w:after="0"/>
            </w:pPr>
            <w:r>
              <w:rPr>
                <w:rFonts w:ascii="Aptos" w:hAnsi="Aptos"/>
                <w:b/>
                <w:i w:val="0"/>
                <w:color w:val="FFFFFF"/>
                <w:sz w:val="20"/>
              </w:rPr>
              <w:t>Offline trust, tracked like digital</w:t>
            </w:r>
          </w:p>
        </w:tc>
      </w:tr>
    </w:tbl>
    <w:tbl>
      <w:tblPr>
        <w:tblW w:type="auto" w:w="0"/>
        <w:jc w:val="center"/>
        <w:tblLook w:firstColumn="1" w:firstRow="1" w:lastColumn="0" w:lastRow="0" w:noHBand="0" w:noVBand="1" w:val="04A0"/>
      </w:tblPr>
      <w:tblGrid>
        <w:gridCol w:w="10512"/>
      </w:tblGrid>
      <w:tr>
        <w:tc>
          <w:tcPr>
            <w:tcW w:type="dxa" w:w="10512"/>
            <w:shd w:fill="FFFCF8"/>
            <w:tcBorders>
              <w:top w:val="single" w:sz="8" w:space="0" w:color="DDD2C5"/>
              <w:left w:val="single" w:sz="8" w:space="0" w:color="DDD2C5"/>
              <w:bottom w:val="single" w:sz="8" w:space="0" w:color="DDD2C5"/>
              <w:right w:val="single" w:sz="8" w:space="0" w:color="DDD2C5"/>
            </w:tcBorders>
            <w:tcMar>
              <w:top w:w="100" w:type="dxa"/>
              <w:start w:w="110" w:type="dxa"/>
              <w:bottom w:w="100" w:type="dxa"/>
              <w:end w:w="110" w:type="dxa"/>
            </w:tcMar>
          </w:tcPr>
          <w:p>
            <w:pPr>
              <w:spacing w:after="0"/>
            </w:pPr>
            <w:r>
              <w:rPr>
                <w:rFonts w:ascii="Aptos" w:hAnsi="Aptos"/>
                <w:b/>
                <w:i w:val="0"/>
                <w:color w:val="0F3D3E"/>
                <w:sz w:val="20"/>
              </w:rPr>
              <w:t xml:space="preserve">Launch thesis: </w:t>
            </w:r>
            <w:r>
              <w:rPr>
                <w:rFonts w:ascii="Aptos" w:hAnsi="Aptos"/>
                <w:b w:val="0"/>
                <w:i w:val="0"/>
                <w:color w:val="223A39"/>
                <w:sz w:val="20"/>
              </w:rPr>
              <w:t>HomeCare HUB should not launch like a generic app. Families are trusting us around aging parents, respite, errands, reminders, and in-home support. The first 90 days must create credibility before scale: clear brand promise, local trust, partner awareness, trackable offline channels, and fast response to every inbound request.</w:t>
            </w:r>
          </w:p>
        </w:tc>
      </w:tr>
    </w:tbl>
    <w:p>
      <w:pPr>
        <w:spacing w:before="200" w:after="60"/>
      </w:pPr>
      <w:r>
        <w:rPr>
          <w:rFonts w:ascii="Georgia" w:hAnsi="Georgia"/>
          <w:b/>
          <w:color w:val="0F3D3E"/>
          <w:sz w:val="30"/>
        </w:rPr>
        <w:t>1. 90-Day Objectives</w:t>
      </w:r>
    </w:p>
    <w:p>
      <w:pPr>
        <w:pStyle w:val="ListBullet"/>
        <w:spacing w:after="40"/>
        <w:ind w:left="331" w:hanging="173"/>
      </w:pPr>
      <w:r>
        <w:rPr>
          <w:rFonts w:ascii="Aptos" w:hAnsi="Aptos"/>
          <w:color w:val="223A39"/>
          <w:sz w:val="17"/>
        </w:rPr>
        <w:t>Make HomeCare HUB visible and credible in Wake County / Raleigh as a non-medical, short-duration home-support option.</w:t>
      </w:r>
    </w:p>
    <w:p>
      <w:pPr>
        <w:pStyle w:val="ListBullet"/>
        <w:spacing w:after="40"/>
        <w:ind w:left="331" w:hanging="173"/>
      </w:pPr>
      <w:r>
        <w:rPr>
          <w:rFonts w:ascii="Aptos" w:hAnsi="Aptos"/>
          <w:color w:val="223A39"/>
          <w:sz w:val="17"/>
        </w:rPr>
        <w:t>Generate measurable family demand without relying on paid search.</w:t>
      </w:r>
    </w:p>
    <w:p>
      <w:pPr>
        <w:pStyle w:val="ListBullet"/>
        <w:spacing w:after="40"/>
        <w:ind w:left="331" w:hanging="173"/>
      </w:pPr>
      <w:r>
        <w:rPr>
          <w:rFonts w:ascii="Aptos" w:hAnsi="Aptos"/>
          <w:color w:val="223A39"/>
          <w:sz w:val="17"/>
        </w:rPr>
        <w:t>Build a referral engine with case managers, discharge planners, senior centers, churches, pharmacies, elder-law professionals, and local community connectors.</w:t>
      </w:r>
    </w:p>
    <w:p>
      <w:pPr>
        <w:pStyle w:val="ListBullet"/>
        <w:spacing w:after="40"/>
        <w:ind w:left="331" w:hanging="173"/>
      </w:pPr>
      <w:r>
        <w:rPr>
          <w:rFonts w:ascii="Aptos" w:hAnsi="Aptos"/>
          <w:color w:val="223A39"/>
          <w:sz w:val="17"/>
        </w:rPr>
        <w:t>Convert the caregiver pipeline into active, responsive supply before each awareness push.</w:t>
      </w:r>
    </w:p>
    <w:p>
      <w:pPr>
        <w:pStyle w:val="ListBullet"/>
        <w:spacing w:after="40"/>
        <w:ind w:left="331" w:hanging="173"/>
      </w:pPr>
      <w:r>
        <w:rPr>
          <w:rFonts w:ascii="Aptos" w:hAnsi="Aptos"/>
          <w:color w:val="223A39"/>
          <w:sz w:val="17"/>
        </w:rPr>
        <w:t>Create investor-ready traction proof: source-level leads, qualified requests, first visits, repeat usage, partner referrals, response-time data, and early testimonials.</w:t>
      </w:r>
    </w:p>
    <w:p>
      <w:pPr>
        <w:spacing w:before="200" w:after="60"/>
      </w:pPr>
      <w:r>
        <w:rPr>
          <w:rFonts w:ascii="Georgia" w:hAnsi="Georgia"/>
          <w:b/>
          <w:color w:val="0F3D3E"/>
          <w:sz w:val="30"/>
        </w:rPr>
        <w:t>2. Budget Envelope</w:t>
      </w:r>
    </w:p>
    <w:p>
      <w:pPr>
        <w:spacing w:before="0" w:after="80"/>
      </w:pPr>
      <w:r>
        <w:rPr>
          <w:rFonts w:ascii="Aptos" w:hAnsi="Aptos"/>
          <w:b w:val="0"/>
          <w:i w:val="0"/>
          <w:color w:val="223A39"/>
          <w:sz w:val="18"/>
        </w:rPr>
        <w:t>Recommended spend is $68,000 over the first 90 days. This is intentionally front-loaded because brand trust and local awareness must be created before the marketplace can scale. The plan still leaves flexibility inside the broader $250K seed use of funds and should be cut or expanded based on Day 45 and Day 75 performance gates.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2880"/>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4"/>
              </w:rPr>
              <w:t>Workstream</w:t>
            </w:r>
          </w:p>
        </w:tc>
        <w:tc>
          <w:tcPr>
            <w:tcW w:type="dxa" w:w="1512"/>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4"/>
              </w:rPr>
              <w:t>Budget</w:t>
            </w:r>
          </w:p>
        </w:tc>
        <w:tc>
          <w:tcPr>
            <w:tcW w:type="dxa" w:w="6552"/>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4"/>
              </w:rPr>
              <w:t>What it funds</w:t>
            </w:r>
          </w:p>
        </w:tc>
      </w:tr>
      <w:tr>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Brand, creative, and trust foundation</w:t>
            </w:r>
          </w:p>
        </w:tc>
        <w:tc>
          <w:tcPr>
            <w:tcW w:type="dxa" w:w="15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$13,500</w:t>
            </w:r>
          </w:p>
        </w:tc>
        <w:tc>
          <w:tcPr>
            <w:tcW w:type="dxa" w:w="65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Messaging, launch offer, creative kit, short video/audio scripts, trust/safety collateral, copy compliance review.</w:t>
            </w:r>
          </w:p>
        </w:tc>
      </w:tr>
      <w:tr>
        <w:tc>
          <w:tcPr>
            <w:tcW w:type="dxa" w:w="288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Tracking, CRM, and conversion infrastructure</w:t>
            </w:r>
          </w:p>
        </w:tc>
        <w:tc>
          <w:tcPr>
            <w:tcW w:type="dxa" w:w="151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$5,000</w:t>
            </w:r>
          </w:p>
        </w:tc>
        <w:tc>
          <w:tcPr>
            <w:tcW w:type="dxa" w:w="65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Call tracking, vanity URLs, QR codes, landing pages, CRM pipeline, source tags, dashboard.</w:t>
            </w:r>
          </w:p>
        </w:tc>
      </w:tr>
      <w:tr>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Partner/referral/community activation</w:t>
            </w:r>
          </w:p>
        </w:tc>
        <w:tc>
          <w:tcPr>
            <w:tcW w:type="dxa" w:w="15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$10,500</w:t>
            </w:r>
          </w:p>
        </w:tc>
        <w:tc>
          <w:tcPr>
            <w:tcW w:type="dxa" w:w="65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Case-manager/senior-center/church/pharmacy kits, lunches, events, field visits, referral collateral.</w:t>
            </w:r>
          </w:p>
        </w:tc>
      </w:tr>
      <w:tr>
        <w:tc>
          <w:tcPr>
            <w:tcW w:type="dxa" w:w="288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OOH: billboards, signs, local visibility</w:t>
            </w:r>
          </w:p>
        </w:tc>
        <w:tc>
          <w:tcPr>
            <w:tcW w:type="dxa" w:w="151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$13,000</w:t>
            </w:r>
          </w:p>
        </w:tc>
        <w:tc>
          <w:tcPr>
            <w:tcW w:type="dxa" w:w="65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Two 4-week boards or one premium board plus digital/rotating placements, printed signs, production.</w:t>
            </w:r>
          </w:p>
        </w:tc>
      </w:tr>
      <w:tr>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Direct mail and neighborhood print</w:t>
            </w:r>
          </w:p>
        </w:tc>
        <w:tc>
          <w:tcPr>
            <w:tcW w:type="dxa" w:w="15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$5,500</w:t>
            </w:r>
          </w:p>
        </w:tc>
        <w:tc>
          <w:tcPr>
            <w:tcW w:type="dxa" w:w="65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Targeted postcard pilot to senior-heavy and adult-child ZIPs; segmented message variants.</w:t>
            </w:r>
          </w:p>
        </w:tc>
      </w:tr>
      <w:tr>
        <w:tc>
          <w:tcPr>
            <w:tcW w:type="dxa" w:w="288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Audio, podcast, and CTV/local TV test</w:t>
            </w:r>
          </w:p>
        </w:tc>
        <w:tc>
          <w:tcPr>
            <w:tcW w:type="dxa" w:w="151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$8,500</w:t>
            </w:r>
          </w:p>
        </w:tc>
        <w:tc>
          <w:tcPr>
            <w:tcW w:type="dxa" w:w="65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Radio/podcast host-read tests, CTV or local cable test, production-light 15s/30s spots.</w:t>
            </w:r>
          </w:p>
        </w:tc>
      </w:tr>
      <w:tr>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PR, launch content, and review generation</w:t>
            </w:r>
          </w:p>
        </w:tc>
        <w:tc>
          <w:tcPr>
            <w:tcW w:type="dxa" w:w="15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$2,500</w:t>
            </w:r>
          </w:p>
        </w:tc>
        <w:tc>
          <w:tcPr>
            <w:tcW w:type="dxa" w:w="65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Local launch story, founder narrative, press outreach, customer/caregiver stories, review capture.</w:t>
            </w:r>
          </w:p>
        </w:tc>
      </w:tr>
      <w:tr>
        <w:tc>
          <w:tcPr>
            <w:tcW w:type="dxa" w:w="288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Contingency and optimization reserve</w:t>
            </w:r>
          </w:p>
        </w:tc>
        <w:tc>
          <w:tcPr>
            <w:tcW w:type="dxa" w:w="151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$4,500</w:t>
            </w:r>
          </w:p>
        </w:tc>
        <w:tc>
          <w:tcPr>
            <w:tcW w:type="dxa" w:w="65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Shift to highest-performing channel by Day 45 and Day 75.</w:t>
            </w:r>
          </w:p>
        </w:tc>
      </w:tr>
      <w:tr>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Facebook/Instagram + online retargeting</w:t>
            </w:r>
          </w:p>
        </w:tc>
        <w:tc>
          <w:tcPr>
            <w:tcW w:type="dxa" w:w="15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$5,000</w:t>
            </w:r>
          </w:p>
        </w:tc>
        <w:tc>
          <w:tcPr>
            <w:tcW w:type="dxa" w:w="65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Small paid social layer for family awareness, caregiver/family audience testing, retargeting site visitors, and boosting PR/trust content.</w:t>
            </w:r>
          </w:p>
        </w:tc>
      </w:tr>
      <w:tr>
        <w:tc>
          <w:tcPr>
            <w:tcW w:type="dxa" w:w="350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Total recommended 90-day budget</w:t>
            </w:r>
          </w:p>
        </w:tc>
        <w:tc>
          <w:tcPr>
            <w:tcW w:type="dxa" w:w="350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$68,000</w:t>
            </w:r>
          </w:p>
        </w:tc>
        <w:tc>
          <w:tcPr>
            <w:tcW w:type="dxa" w:w="350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Offline-first launch budget with a small digital layer; still controlled for a $250K seed-funded launch.</w:t>
            </w:r>
          </w:p>
        </w:tc>
      </w:tr>
    </w:tbl>
    <w:p>
      <w:pPr>
        <w:spacing w:before="200" w:after="60"/>
      </w:pPr>
      <w:r>
        <w:rPr>
          <w:rFonts w:ascii="Georgia" w:hAnsi="Georgia"/>
          <w:b/>
          <w:color w:val="0F3D3E"/>
          <w:sz w:val="30"/>
        </w:rPr>
        <w:t>3. Phase Plan</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1512"/>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Timing</w:t>
            </w:r>
          </w:p>
        </w:tc>
        <w:tc>
          <w:tcPr>
            <w:tcW w:type="dxa" w:w="2088"/>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Theme</w:t>
            </w:r>
          </w:p>
        </w:tc>
        <w:tc>
          <w:tcPr>
            <w:tcW w:type="dxa" w:w="6192"/>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Primary work</w:t>
            </w:r>
          </w:p>
        </w:tc>
        <w:tc>
          <w:tcPr>
            <w:tcW w:type="dxa" w:w="1296"/>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Budget</w:t>
            </w:r>
          </w:p>
        </w:tc>
      </w:tr>
      <w:tr>
        <w:tc>
          <w:tcPr>
            <w:tcW w:type="dxa" w:w="15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Days 1-15</w:t>
            </w:r>
          </w:p>
        </w:tc>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Build the launch machine</w:t>
            </w:r>
          </w:p>
        </w:tc>
        <w:tc>
          <w:tcPr>
            <w:tcW w:type="dxa" w:w="619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Messaging, brand kit, landing pages, tracking numbers, CRM, referral scripts, first creative batch, Meta pixel/online setup.</w:t>
            </w:r>
          </w:p>
        </w:tc>
        <w:tc>
          <w:tcPr>
            <w:tcW w:type="dxa" w:w="129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$17,000</w:t>
            </w:r>
          </w:p>
        </w:tc>
      </w:tr>
      <w:tr>
        <w:tc>
          <w:tcPr>
            <w:tcW w:type="dxa" w:w="15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Days 16-30</w:t>
            </w:r>
          </w:p>
        </w:tc>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Quiet launch + trust seeding</w:t>
            </w:r>
          </w:p>
        </w:tc>
        <w:tc>
          <w:tcPr>
            <w:tcW w:type="dxa" w:w="619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Partner outreach, caregiver activation, first events, PR prep, direct mail list build, OOH booking, small social creative test.</w:t>
            </w:r>
          </w:p>
        </w:tc>
        <w:tc>
          <w:tcPr>
            <w:tcW w:type="dxa" w:w="129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$13,000</w:t>
            </w:r>
          </w:p>
        </w:tc>
      </w:tr>
      <w:tr>
        <w:tc>
          <w:tcPr>
            <w:tcW w:type="dxa" w:w="15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Days 31-60</w:t>
            </w:r>
          </w:p>
        </w:tc>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Public awareness push</w:t>
            </w:r>
          </w:p>
        </w:tc>
        <w:tc>
          <w:tcPr>
            <w:tcW w:type="dxa" w:w="619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Billboards/signs live, radio/podcast/CTV test, direct mail drop 1, Meta/Facebook awareness and retargeting test, partner visits, launch PR.</w:t>
            </w:r>
          </w:p>
        </w:tc>
        <w:tc>
          <w:tcPr>
            <w:tcW w:type="dxa" w:w="129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$24,000</w:t>
            </w:r>
          </w:p>
        </w:tc>
      </w:tr>
      <w:tr>
        <w:tc>
          <w:tcPr>
            <w:tcW w:type="dxa" w:w="15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Days 61-90</w:t>
            </w:r>
          </w:p>
        </w:tc>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Optimize + prove traction</w:t>
            </w:r>
          </w:p>
        </w:tc>
        <w:tc>
          <w:tcPr>
            <w:tcW w:type="dxa" w:w="619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Double down on best channel, direct mail drop 2, community events, reviews, referral loops, online retargeting, investor traction pack.</w:t>
            </w:r>
          </w:p>
        </w:tc>
        <w:tc>
          <w:tcPr>
            <w:tcW w:type="dxa" w:w="129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$14,000</w:t>
            </w:r>
          </w:p>
        </w:tc>
      </w:tr>
    </w:tbl>
    <w:p>
      <w:pPr>
        <w:spacing w:before="200" w:after="60"/>
      </w:pPr>
      <w:r>
        <w:rPr>
          <w:rFonts w:ascii="Georgia" w:hAnsi="Georgia"/>
          <w:b/>
          <w:color w:val="0F3D3E"/>
          <w:sz w:val="30"/>
        </w:rPr>
        <w:t>4. Channel Strategy</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c>
          <w:tcPr>
            <w:tcW w:type="dxa" w:w="1800"/>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3"/>
              </w:rPr>
              <w:t>Channel</w:t>
            </w:r>
          </w:p>
        </w:tc>
        <w:tc>
          <w:tcPr>
            <w:tcW w:type="dxa" w:w="2448"/>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3"/>
              </w:rPr>
              <w:t>Why it matters</w:t>
            </w:r>
          </w:p>
        </w:tc>
        <w:tc>
          <w:tcPr>
            <w:tcW w:type="dxa" w:w="2088"/>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3"/>
              </w:rPr>
              <w:t>Audience</w:t>
            </w:r>
          </w:p>
        </w:tc>
        <w:tc>
          <w:tcPr>
            <w:tcW w:type="dxa" w:w="2520"/>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3"/>
              </w:rPr>
              <w:t>Execution</w:t>
            </w:r>
          </w:p>
        </w:tc>
        <w:tc>
          <w:tcPr>
            <w:tcW w:type="dxa" w:w="2088"/>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3"/>
              </w:rPr>
              <w:t>Measurement</w:t>
            </w:r>
          </w:p>
        </w:tc>
      </w:tr>
      <w:tr>
        <w:tc>
          <w:tcPr>
            <w:tcW w:type="dxa" w:w="180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Partner/referral awareness</w:t>
            </w:r>
          </w:p>
        </w:tc>
        <w:tc>
          <w:tcPr>
            <w:tcW w:type="dxa" w:w="244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Highest-trust channel; builds durable local credibility.</w:t>
            </w:r>
          </w:p>
        </w:tc>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Case managers, discharge planners, churches, senior centers, pharmacies, elder law, care managers.</w:t>
            </w:r>
          </w:p>
        </w:tc>
        <w:tc>
          <w:tcPr>
            <w:tcW w:type="dxa" w:w="252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Partner one-pager, leave-behind cards, founder visit, monthly reminder email.</w:t>
            </w:r>
          </w:p>
        </w:tc>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Number of warm partners; partner-sourced leads; booked visits by partner.</w:t>
            </w:r>
          </w:p>
        </w:tc>
      </w:tr>
      <w:tr>
        <w:tc>
          <w:tcPr>
            <w:tcW w:type="dxa" w:w="180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OOH/signage</w:t>
            </w:r>
          </w:p>
        </w:tc>
        <w:tc>
          <w:tcPr>
            <w:tcW w:type="dxa" w:w="244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Creates mental availability and legitimacy in a market where families may not know a short-care option exists.</w:t>
            </w:r>
          </w:p>
        </w:tc>
        <w:tc>
          <w:tcPr>
            <w:tcW w:type="dxa" w:w="208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Adult children commuters, seniors, caregivers, local influencers.</w:t>
            </w:r>
          </w:p>
        </w:tc>
        <w:tc>
          <w:tcPr>
            <w:tcW w:type="dxa" w:w="252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Simple billboard: Need help for Mom for 1 hour? Trusted non-medical support. Raleigh launch.</w:t>
            </w:r>
          </w:p>
        </w:tc>
        <w:tc>
          <w:tcPr>
            <w:tcW w:type="dxa" w:w="208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Branded search lift; call tracking; QR scans; assisted conversions.</w:t>
            </w:r>
          </w:p>
        </w:tc>
      </w:tr>
      <w:tr>
        <w:tc>
          <w:tcPr>
            <w:tcW w:type="dxa" w:w="180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Direct mail</w:t>
            </w:r>
          </w:p>
        </w:tc>
        <w:tc>
          <w:tcPr>
            <w:tcW w:type="dxa" w:w="244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Reaches seniors/adult children outside paid search; useful for local ZIP testing.</w:t>
            </w:r>
          </w:p>
        </w:tc>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Senior-heavy ZIPs and adult-child homeowner ZIPs.</w:t>
            </w:r>
          </w:p>
        </w:tc>
        <w:tc>
          <w:tcPr>
            <w:tcW w:type="dxa" w:w="252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Two postcard variants: family urgency and independence/support.</w:t>
            </w:r>
          </w:p>
        </w:tc>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Calls/forms by mail code; cost per qualified request.</w:t>
            </w:r>
          </w:p>
        </w:tc>
      </w:tr>
      <w:tr>
        <w:tc>
          <w:tcPr>
            <w:tcW w:type="dxa" w:w="180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Radio/podcast/CTV</w:t>
            </w:r>
          </w:p>
        </w:tc>
        <w:tc>
          <w:tcPr>
            <w:tcW w:type="dxa" w:w="244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Trust-transfer from local hosts and efficient reach if creative is clear.</w:t>
            </w:r>
          </w:p>
        </w:tc>
        <w:tc>
          <w:tcPr>
            <w:tcW w:type="dxa" w:w="208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Local news/talk, faith/community shows, caregiver/family audiences.</w:t>
            </w:r>
          </w:p>
        </w:tc>
        <w:tc>
          <w:tcPr>
            <w:tcW w:type="dxa" w:w="252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15s/30s direct-response message with unique phone/URL.</w:t>
            </w:r>
          </w:p>
        </w:tc>
        <w:tc>
          <w:tcPr>
            <w:tcW w:type="dxa" w:w="208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Source-coded calls; site traffic; recall in intake script.</w:t>
            </w:r>
          </w:p>
        </w:tc>
      </w:tr>
      <w:tr>
        <w:tc>
          <w:tcPr>
            <w:tcW w:type="dxa" w:w="180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PR/content</w:t>
            </w:r>
          </w:p>
        </w:tc>
        <w:tc>
          <w:tcPr>
            <w:tcW w:type="dxa" w:w="244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Adds credibility and explains category: not agency, not Uber, not Care.com.</w:t>
            </w:r>
          </w:p>
        </w:tc>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Local business press, WRAL/N&amp;O/Triangle outlets, community newsletters.</w:t>
            </w:r>
          </w:p>
        </w:tc>
        <w:tc>
          <w:tcPr>
            <w:tcW w:type="dxa" w:w="252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Founder story + aging-in-place problem + NC launch + 200+ caregivers.</w:t>
            </w:r>
          </w:p>
        </w:tc>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Mentions, backlinks, referral partner credibility.</w:t>
            </w:r>
          </w:p>
        </w:tc>
      </w:tr>
      <w:tr>
        <w:tc>
          <w:tcPr>
            <w:tcW w:type="dxa" w:w="210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Facebook/Instagram + online retargeting</w:t>
            </w:r>
          </w:p>
        </w:tc>
        <w:tc>
          <w:tcPr>
            <w:tcW w:type="dxa" w:w="210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3"/>
              </w:rPr>
              <w:t>Small digital layer to amplify trust content, retarget people who saw offline/PR, and test adult-child audiences without relying on paid search.</w:t>
            </w:r>
          </w:p>
        </w:tc>
        <w:tc>
          <w:tcPr>
            <w:tcW w:type="dxa" w:w="210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3"/>
              </w:rPr>
              <w:t>Adult children, local caregivers, family decision-makers, partner-adjacent audiences.</w:t>
            </w:r>
          </w:p>
        </w:tc>
        <w:tc>
          <w:tcPr>
            <w:tcW w:type="dxa" w:w="210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3"/>
              </w:rPr>
              <w:t>Lead-form and landing-page campaigns, retargeting website visitors, boosted PR/testimonial content, $25-$75/day tests.</w:t>
            </w:r>
          </w:p>
        </w:tc>
        <w:tc>
          <w:tcPr>
            <w:tcW w:type="dxa" w:w="210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3"/>
              </w:rPr>
              <w:t>Cost per lead, qualified request rate, assisted conversions, landing-page retargeting pool size.</w:t>
            </w:r>
          </w:p>
        </w:tc>
      </w:tr>
    </w:tbl>
    <w:p>
      <w:pPr>
        <w:spacing w:before="200" w:after="60"/>
      </w:pPr>
      <w:r>
        <w:rPr>
          <w:rFonts w:ascii="Georgia" w:hAnsi="Georgia"/>
          <w:b/>
          <w:color w:val="0F3D3E"/>
          <w:sz w:val="30"/>
        </w:rPr>
        <w:t>5. Week-by-Week Execution Calendar</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48"/>
            <w:shd w:fill="174D4E"/>
            <w:tcBorders>
              <w:top w:val="single" w:sz="6" w:space="0" w:color="174D4E"/>
              <w:left w:val="single" w:sz="6" w:space="0" w:color="174D4E"/>
              <w:bottom w:val="single" w:sz="6" w:space="0" w:color="174D4E"/>
              <w:right w:val="single" w:sz="6" w:space="0" w:color="174D4E"/>
            </w:tcBorders>
            <w:tcMar>
              <w:top w:w="45" w:type="dxa"/>
              <w:start w:w="55" w:type="dxa"/>
              <w:bottom w:w="45" w:type="dxa"/>
              <w:end w:w="55" w:type="dxa"/>
            </w:tcMar>
            <w:vAlign w:val="top"/>
          </w:tcPr>
          <w:p>
            <w:pPr>
              <w:spacing w:after="0"/>
            </w:pPr>
            <w:r>
              <w:rPr>
                <w:rFonts w:ascii="Aptos" w:hAnsi="Aptos"/>
                <w:b/>
                <w:color w:val="FFFFFF"/>
                <w:sz w:val="13"/>
              </w:rPr>
              <w:t>Week</w:t>
            </w:r>
          </w:p>
        </w:tc>
        <w:tc>
          <w:tcPr>
            <w:tcW w:type="dxa" w:w="1944"/>
            <w:shd w:fill="174D4E"/>
            <w:tcBorders>
              <w:top w:val="single" w:sz="6" w:space="0" w:color="174D4E"/>
              <w:left w:val="single" w:sz="6" w:space="0" w:color="174D4E"/>
              <w:bottom w:val="single" w:sz="6" w:space="0" w:color="174D4E"/>
              <w:right w:val="single" w:sz="6" w:space="0" w:color="174D4E"/>
            </w:tcBorders>
            <w:tcMar>
              <w:top w:w="45" w:type="dxa"/>
              <w:start w:w="55" w:type="dxa"/>
              <w:bottom w:w="45" w:type="dxa"/>
              <w:end w:w="55" w:type="dxa"/>
            </w:tcMar>
            <w:vAlign w:val="top"/>
          </w:tcPr>
          <w:p>
            <w:pPr>
              <w:spacing w:after="0"/>
            </w:pPr>
            <w:r>
              <w:rPr>
                <w:rFonts w:ascii="Aptos" w:hAnsi="Aptos"/>
                <w:b/>
                <w:color w:val="FFFFFF"/>
                <w:sz w:val="13"/>
              </w:rPr>
              <w:t>Focus</w:t>
            </w:r>
          </w:p>
        </w:tc>
        <w:tc>
          <w:tcPr>
            <w:tcW w:type="dxa" w:w="5760"/>
            <w:shd w:fill="174D4E"/>
            <w:tcBorders>
              <w:top w:val="single" w:sz="6" w:space="0" w:color="174D4E"/>
              <w:left w:val="single" w:sz="6" w:space="0" w:color="174D4E"/>
              <w:bottom w:val="single" w:sz="6" w:space="0" w:color="174D4E"/>
              <w:right w:val="single" w:sz="6" w:space="0" w:color="174D4E"/>
            </w:tcBorders>
            <w:tcMar>
              <w:top w:w="45" w:type="dxa"/>
              <w:start w:w="55" w:type="dxa"/>
              <w:bottom w:w="45" w:type="dxa"/>
              <w:end w:w="55" w:type="dxa"/>
            </w:tcMar>
            <w:vAlign w:val="top"/>
          </w:tcPr>
          <w:p>
            <w:pPr>
              <w:spacing w:after="0"/>
            </w:pPr>
            <w:r>
              <w:rPr>
                <w:rFonts w:ascii="Aptos" w:hAnsi="Aptos"/>
                <w:b/>
                <w:color w:val="FFFFFF"/>
                <w:sz w:val="13"/>
              </w:rPr>
              <w:t>Actions</w:t>
            </w:r>
          </w:p>
        </w:tc>
        <w:tc>
          <w:tcPr>
            <w:tcW w:type="dxa" w:w="2880"/>
            <w:shd w:fill="174D4E"/>
            <w:tcBorders>
              <w:top w:val="single" w:sz="6" w:space="0" w:color="174D4E"/>
              <w:left w:val="single" w:sz="6" w:space="0" w:color="174D4E"/>
              <w:bottom w:val="single" w:sz="6" w:space="0" w:color="174D4E"/>
              <w:right w:val="single" w:sz="6" w:space="0" w:color="174D4E"/>
            </w:tcBorders>
            <w:tcMar>
              <w:top w:w="45" w:type="dxa"/>
              <w:start w:w="55" w:type="dxa"/>
              <w:bottom w:w="45" w:type="dxa"/>
              <w:end w:w="55" w:type="dxa"/>
            </w:tcMar>
            <w:vAlign w:val="top"/>
          </w:tcPr>
          <w:p>
            <w:pPr>
              <w:spacing w:after="0"/>
            </w:pPr>
            <w:r>
              <w:rPr>
                <w:rFonts w:ascii="Aptos" w:hAnsi="Aptos"/>
                <w:b/>
                <w:color w:val="FFFFFF"/>
                <w:sz w:val="13"/>
              </w:rPr>
              <w:t>Output</w:t>
            </w:r>
          </w:p>
        </w:tc>
      </w:tr>
      <w:tr>
        <w:tc>
          <w:tcPr>
            <w:tcW w:type="dxa" w:w="64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1</w:t>
            </w:r>
          </w:p>
        </w:tc>
        <w:tc>
          <w:tcPr>
            <w:tcW w:type="dxa" w:w="194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Clarify brand promise</w:t>
            </w:r>
          </w:p>
        </w:tc>
        <w:tc>
          <w:tcPr>
            <w:tcW w:type="dxa" w:w="576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Lock positioning, audience hierarchy, service boundary, core claims, and visual direction.</w:t>
            </w:r>
          </w:p>
        </w:tc>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Approved message house + launch offer.</w:t>
            </w:r>
          </w:p>
        </w:tc>
      </w:tr>
      <w:tr>
        <w:tc>
          <w:tcPr>
            <w:tcW w:type="dxa" w:w="64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2</w:t>
            </w:r>
          </w:p>
        </w:tc>
        <w:tc>
          <w:tcPr>
            <w:tcW w:type="dxa" w:w="194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Build tracking + conversion base</w:t>
            </w:r>
          </w:p>
        </w:tc>
        <w:tc>
          <w:tcPr>
            <w:tcW w:type="dxa" w:w="576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Landing pages, CRM stages, call tracking, QR/vanity URLs, inquiry forms, attribution dashboard. Add Meta pixel, custom conversions, retargeting audiences, and small daily budget structure.</w:t>
            </w:r>
          </w:p>
        </w:tc>
        <w:tc>
          <w:tcPr>
            <w:tcW w:type="dxa" w:w="288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Every channel has a source code before spending starts.</w:t>
            </w:r>
          </w:p>
        </w:tc>
      </w:tr>
      <w:tr>
        <w:tc>
          <w:tcPr>
            <w:tcW w:type="dxa" w:w="64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3</w:t>
            </w:r>
          </w:p>
        </w:tc>
        <w:tc>
          <w:tcPr>
            <w:tcW w:type="dxa" w:w="194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Create launch collateral</w:t>
            </w:r>
          </w:p>
        </w:tc>
        <w:tc>
          <w:tcPr>
            <w:tcW w:type="dxa" w:w="576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Partner one-pager, family flyer, caregiver flyer, referral card, leave-behind packet, scope-of-service explainer.</w:t>
            </w:r>
          </w:p>
        </w:tc>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Print-ready and digital-ready collateral.</w:t>
            </w:r>
          </w:p>
        </w:tc>
      </w:tr>
      <w:tr>
        <w:tc>
          <w:tcPr>
            <w:tcW w:type="dxa" w:w="64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4</w:t>
            </w:r>
          </w:p>
        </w:tc>
        <w:tc>
          <w:tcPr>
            <w:tcW w:type="dxa" w:w="194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Quiet launch outreach</w:t>
            </w:r>
          </w:p>
        </w:tc>
        <w:tc>
          <w:tcPr>
            <w:tcW w:type="dxa" w:w="576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Visit/phone 50 partner targets: case managers, senior centers, churches, pharmacies, elder law, discharge planners.</w:t>
            </w:r>
          </w:p>
        </w:tc>
        <w:tc>
          <w:tcPr>
            <w:tcW w:type="dxa" w:w="288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10 warm partner conversations.</w:t>
            </w:r>
          </w:p>
        </w:tc>
      </w:tr>
      <w:tr>
        <w:tc>
          <w:tcPr>
            <w:tcW w:type="dxa" w:w="64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5</w:t>
            </w:r>
          </w:p>
        </w:tc>
        <w:tc>
          <w:tcPr>
            <w:tcW w:type="dxa" w:w="194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Book media and seed PR</w:t>
            </w:r>
          </w:p>
        </w:tc>
        <w:tc>
          <w:tcPr>
            <w:tcW w:type="dxa" w:w="576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Reserve OOH, pitch local press, negotiate audio/CTV tests, finalize direct mail list. Finalize Facebook/Instagram creative variants and boosted trust-content calendar.</w:t>
            </w:r>
          </w:p>
        </w:tc>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Media calendar and PR target list locked.</w:t>
            </w:r>
          </w:p>
        </w:tc>
      </w:tr>
      <w:tr>
        <w:tc>
          <w:tcPr>
            <w:tcW w:type="dxa" w:w="64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6</w:t>
            </w:r>
          </w:p>
        </w:tc>
        <w:tc>
          <w:tcPr>
            <w:tcW w:type="dxa" w:w="194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Launch public awareness</w:t>
            </w:r>
          </w:p>
        </w:tc>
        <w:tc>
          <w:tcPr>
            <w:tcW w:type="dxa" w:w="576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OOH/signage goes live; direct mail drop 1; local audio/CTV first flight; community posts. Launch small Facebook/Instagram awareness and retargeting test with source-coded landing page.</w:t>
            </w:r>
          </w:p>
        </w:tc>
        <w:tc>
          <w:tcPr>
            <w:tcW w:type="dxa" w:w="288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First full awareness week live.</w:t>
            </w:r>
          </w:p>
        </w:tc>
      </w:tr>
      <w:tr>
        <w:tc>
          <w:tcPr>
            <w:tcW w:type="dxa" w:w="64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7</w:t>
            </w:r>
          </w:p>
        </w:tc>
        <w:tc>
          <w:tcPr>
            <w:tcW w:type="dxa" w:w="194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Field activation</w:t>
            </w:r>
          </w:p>
        </w:tc>
        <w:tc>
          <w:tcPr>
            <w:tcW w:type="dxa" w:w="576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In-person partner visits, caregiver ambassador referrals, church/senior-center meetings, first event table.</w:t>
            </w:r>
          </w:p>
        </w:tc>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25 additional partner touches.</w:t>
            </w:r>
          </w:p>
        </w:tc>
      </w:tr>
      <w:tr>
        <w:tc>
          <w:tcPr>
            <w:tcW w:type="dxa" w:w="64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8</w:t>
            </w:r>
          </w:p>
        </w:tc>
        <w:tc>
          <w:tcPr>
            <w:tcW w:type="dxa" w:w="194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Conversion tightening</w:t>
            </w:r>
          </w:p>
        </w:tc>
        <w:tc>
          <w:tcPr>
            <w:tcW w:type="dxa" w:w="576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Review call recordings/forms, adjust landing pages/scripts, update FAQ objections, retarget warm referrals manually. Review digital lead quality, exclude weak audiences, and retarget site visitors/call abandoners.</w:t>
            </w:r>
          </w:p>
        </w:tc>
        <w:tc>
          <w:tcPr>
            <w:tcW w:type="dxa" w:w="288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Lead-to-consult conversion improvement.</w:t>
            </w:r>
          </w:p>
        </w:tc>
      </w:tr>
      <w:tr>
        <w:tc>
          <w:tcPr>
            <w:tcW w:type="dxa" w:w="64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9</w:t>
            </w:r>
          </w:p>
        </w:tc>
        <w:tc>
          <w:tcPr>
            <w:tcW w:type="dxa" w:w="194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Proof capture</w:t>
            </w:r>
          </w:p>
        </w:tc>
        <w:tc>
          <w:tcPr>
            <w:tcW w:type="dxa" w:w="576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Collect testimonials, caregiver stories, family quotes, first service metrics, before/after response-time proof.</w:t>
            </w:r>
          </w:p>
        </w:tc>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Investor/customer proof library.</w:t>
            </w:r>
          </w:p>
        </w:tc>
      </w:tr>
      <w:tr>
        <w:tc>
          <w:tcPr>
            <w:tcW w:type="dxa" w:w="64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10</w:t>
            </w:r>
          </w:p>
        </w:tc>
        <w:tc>
          <w:tcPr>
            <w:tcW w:type="dxa" w:w="194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Second pulse</w:t>
            </w:r>
          </w:p>
        </w:tc>
        <w:tc>
          <w:tcPr>
            <w:tcW w:type="dxa" w:w="576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Direct mail drop 2; rotate OOH creative; launch second audio/podcast spot; new partner offer. Rotate online creative with testimonials, founder story, and service-boundary messaging.</w:t>
            </w:r>
          </w:p>
        </w:tc>
        <w:tc>
          <w:tcPr>
            <w:tcW w:type="dxa" w:w="288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Fresh creative and second touchpoint.</w:t>
            </w:r>
          </w:p>
        </w:tc>
      </w:tr>
      <w:tr>
        <w:tc>
          <w:tcPr>
            <w:tcW w:type="dxa" w:w="64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11</w:t>
            </w:r>
          </w:p>
        </w:tc>
        <w:tc>
          <w:tcPr>
            <w:tcW w:type="dxa" w:w="194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Channel reallocation</w:t>
            </w:r>
          </w:p>
        </w:tc>
        <w:tc>
          <w:tcPr>
            <w:tcW w:type="dxa" w:w="576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Cut weak spend, double down on best source, schedule three high-trust community placements. Reallocate online spend only if qualified-request quality is acceptable; otherwise keep retargeting only.</w:t>
            </w:r>
          </w:p>
        </w:tc>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Budget moved based on CPL/booking data.</w:t>
            </w:r>
          </w:p>
        </w:tc>
      </w:tr>
      <w:tr>
        <w:tc>
          <w:tcPr>
            <w:tcW w:type="dxa" w:w="64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12</w:t>
            </w:r>
          </w:p>
        </w:tc>
        <w:tc>
          <w:tcPr>
            <w:tcW w:type="dxa" w:w="194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Trust compounding</w:t>
            </w:r>
          </w:p>
        </w:tc>
        <w:tc>
          <w:tcPr>
            <w:tcW w:type="dxa" w:w="576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Publish safety/trust page, reviews, founder story, caregiver vetting explainer, partner newsletter.</w:t>
            </w:r>
          </w:p>
        </w:tc>
        <w:tc>
          <w:tcPr>
            <w:tcW w:type="dxa" w:w="2880"/>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Trust layer visible and reusable.</w:t>
            </w:r>
          </w:p>
        </w:tc>
      </w:tr>
      <w:tr>
        <w:tc>
          <w:tcPr>
            <w:tcW w:type="dxa" w:w="64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13</w:t>
            </w:r>
          </w:p>
        </w:tc>
        <w:tc>
          <w:tcPr>
            <w:tcW w:type="dxa" w:w="194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90-day traction pack</w:t>
            </w:r>
          </w:p>
        </w:tc>
        <w:tc>
          <w:tcPr>
            <w:tcW w:type="dxa" w:w="576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Compile metrics, CAC by source, partner funnel, creative learnings, next 90-day plan.</w:t>
            </w:r>
          </w:p>
        </w:tc>
        <w:tc>
          <w:tcPr>
            <w:tcW w:type="dxa" w:w="2880"/>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3"/>
              </w:rPr>
              <w:t>Investor-ready traction update.</w:t>
            </w:r>
          </w:p>
        </w:tc>
      </w:tr>
    </w:tbl>
    <w:p>
      <w:pPr>
        <w:spacing w:before="200" w:after="60"/>
      </w:pPr>
      <w:r>
        <w:rPr>
          <w:rFonts w:ascii="Georgia" w:hAnsi="Georgia"/>
          <w:b/>
          <w:color w:val="0F3D3E"/>
          <w:sz w:val="30"/>
        </w:rPr>
        <w:t>6. KPI Targets</w:t>
      </w:r>
    </w:p>
    <w:p>
      <w:pPr>
        <w:spacing w:before="0" w:after="80"/>
      </w:pPr>
      <w:r>
        <w:rPr>
          <w:rFonts w:ascii="Aptos" w:hAnsi="Aptos"/>
          <w:b w:val="0"/>
          <w:i w:val="0"/>
          <w:color w:val="223A39"/>
          <w:sz w:val="18"/>
        </w:rPr>
        <w:t>The first 90 days should be judged by traction quality, not just spend volume. The most important proof is whether trusted offline channels create qualified requests that convert into completed visits and repeat use.</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c>
          <w:tcPr>
            <w:tcW w:type="dxa" w:w="2376"/>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Metric</w:t>
            </w:r>
          </w:p>
        </w:tc>
        <w:tc>
          <w:tcPr>
            <w:tcW w:type="dxa" w:w="1152"/>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Day 30</w:t>
            </w:r>
          </w:p>
        </w:tc>
        <w:tc>
          <w:tcPr>
            <w:tcW w:type="dxa" w:w="1152"/>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Day 60</w:t>
            </w:r>
          </w:p>
        </w:tc>
        <w:tc>
          <w:tcPr>
            <w:tcW w:type="dxa" w:w="1296"/>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Day 90</w:t>
            </w:r>
          </w:p>
        </w:tc>
        <w:tc>
          <w:tcPr>
            <w:tcW w:type="dxa" w:w="4824"/>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Notes</w:t>
            </w:r>
          </w:p>
        </w:tc>
      </w:tr>
      <w:tr>
        <w:tc>
          <w:tcPr>
            <w:tcW w:type="dxa" w:w="237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Family leads captured</w:t>
            </w:r>
          </w:p>
        </w:tc>
        <w:tc>
          <w:tcPr>
            <w:tcW w:type="dxa" w:w="11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50</w:t>
            </w:r>
          </w:p>
        </w:tc>
        <w:tc>
          <w:tcPr>
            <w:tcW w:type="dxa" w:w="11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150</w:t>
            </w:r>
          </w:p>
        </w:tc>
        <w:tc>
          <w:tcPr>
            <w:tcW w:type="dxa" w:w="129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300+</w:t>
            </w:r>
          </w:p>
        </w:tc>
        <w:tc>
          <w:tcPr>
            <w:tcW w:type="dxa" w:w="482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Includes calls, forms, referral-introduced families.</w:t>
            </w:r>
          </w:p>
        </w:tc>
      </w:tr>
      <w:tr>
        <w:tc>
          <w:tcPr>
            <w:tcW w:type="dxa" w:w="2376"/>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Qualified family requests</w:t>
            </w:r>
          </w:p>
        </w:tc>
        <w:tc>
          <w:tcPr>
            <w:tcW w:type="dxa" w:w="11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25</w:t>
            </w:r>
          </w:p>
        </w:tc>
        <w:tc>
          <w:tcPr>
            <w:tcW w:type="dxa" w:w="11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75</w:t>
            </w:r>
          </w:p>
        </w:tc>
        <w:tc>
          <w:tcPr>
            <w:tcW w:type="dxa" w:w="1296"/>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150+</w:t>
            </w:r>
          </w:p>
        </w:tc>
        <w:tc>
          <w:tcPr>
            <w:tcW w:type="dxa" w:w="482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Needs fit within non-medical private-pay scope.</w:t>
            </w:r>
          </w:p>
        </w:tc>
      </w:tr>
      <w:tr>
        <w:tc>
          <w:tcPr>
            <w:tcW w:type="dxa" w:w="237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First completed visits</w:t>
            </w:r>
          </w:p>
        </w:tc>
        <w:tc>
          <w:tcPr>
            <w:tcW w:type="dxa" w:w="11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5-10</w:t>
            </w:r>
          </w:p>
        </w:tc>
        <w:tc>
          <w:tcPr>
            <w:tcW w:type="dxa" w:w="11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25-40</w:t>
            </w:r>
          </w:p>
        </w:tc>
        <w:tc>
          <w:tcPr>
            <w:tcW w:type="dxa" w:w="129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60-90</w:t>
            </w:r>
          </w:p>
        </w:tc>
        <w:tc>
          <w:tcPr>
            <w:tcW w:type="dxa" w:w="482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Goal is proof of conversion, not just awareness.</w:t>
            </w:r>
          </w:p>
        </w:tc>
      </w:tr>
      <w:tr>
        <w:tc>
          <w:tcPr>
            <w:tcW w:type="dxa" w:w="2376"/>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Repeat-booking rate</w:t>
            </w:r>
          </w:p>
        </w:tc>
        <w:tc>
          <w:tcPr>
            <w:tcW w:type="dxa" w:w="11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N/A</w:t>
            </w:r>
          </w:p>
        </w:tc>
        <w:tc>
          <w:tcPr>
            <w:tcW w:type="dxa" w:w="11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20%</w:t>
            </w:r>
          </w:p>
        </w:tc>
        <w:tc>
          <w:tcPr>
            <w:tcW w:type="dxa" w:w="1296"/>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30%+</w:t>
            </w:r>
          </w:p>
        </w:tc>
        <w:tc>
          <w:tcPr>
            <w:tcW w:type="dxa" w:w="482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Core validation that this is recurring need.</w:t>
            </w:r>
          </w:p>
        </w:tc>
      </w:tr>
      <w:tr>
        <w:tc>
          <w:tcPr>
            <w:tcW w:type="dxa" w:w="237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Partner targets contacted</w:t>
            </w:r>
          </w:p>
        </w:tc>
        <w:tc>
          <w:tcPr>
            <w:tcW w:type="dxa" w:w="11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50</w:t>
            </w:r>
          </w:p>
        </w:tc>
        <w:tc>
          <w:tcPr>
            <w:tcW w:type="dxa" w:w="11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125</w:t>
            </w:r>
          </w:p>
        </w:tc>
        <w:tc>
          <w:tcPr>
            <w:tcW w:type="dxa" w:w="129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200+</w:t>
            </w:r>
          </w:p>
        </w:tc>
        <w:tc>
          <w:tcPr>
            <w:tcW w:type="dxa" w:w="482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Case managers, senior centers, churches, pharmacies, elder law.</w:t>
            </w:r>
          </w:p>
        </w:tc>
      </w:tr>
      <w:tr>
        <w:tc>
          <w:tcPr>
            <w:tcW w:type="dxa" w:w="2376"/>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Warm referral partners</w:t>
            </w:r>
          </w:p>
        </w:tc>
        <w:tc>
          <w:tcPr>
            <w:tcW w:type="dxa" w:w="11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10</w:t>
            </w:r>
          </w:p>
        </w:tc>
        <w:tc>
          <w:tcPr>
            <w:tcW w:type="dxa" w:w="11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25</w:t>
            </w:r>
          </w:p>
        </w:tc>
        <w:tc>
          <w:tcPr>
            <w:tcW w:type="dxa" w:w="1296"/>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40+</w:t>
            </w:r>
          </w:p>
        </w:tc>
        <w:tc>
          <w:tcPr>
            <w:tcW w:type="dxa" w:w="482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Partners willing to mention/refer HomeCare HUB.</w:t>
            </w:r>
          </w:p>
        </w:tc>
      </w:tr>
      <w:tr>
        <w:tc>
          <w:tcPr>
            <w:tcW w:type="dxa" w:w="237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Caregiver activation</w:t>
            </w:r>
          </w:p>
        </w:tc>
        <w:tc>
          <w:tcPr>
            <w:tcW w:type="dxa" w:w="11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50 active</w:t>
            </w:r>
          </w:p>
        </w:tc>
        <w:tc>
          <w:tcPr>
            <w:tcW w:type="dxa" w:w="115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100 active</w:t>
            </w:r>
          </w:p>
        </w:tc>
        <w:tc>
          <w:tcPr>
            <w:tcW w:type="dxa" w:w="1296"/>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150 active</w:t>
            </w:r>
          </w:p>
        </w:tc>
        <w:tc>
          <w:tcPr>
            <w:tcW w:type="dxa" w:w="482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Caregivers responsive and available in CRM.</w:t>
            </w:r>
          </w:p>
        </w:tc>
      </w:tr>
      <w:tr>
        <w:tc>
          <w:tcPr>
            <w:tcW w:type="dxa" w:w="2376"/>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Source-level attribution coverage</w:t>
            </w:r>
          </w:p>
        </w:tc>
        <w:tc>
          <w:tcPr>
            <w:tcW w:type="dxa" w:w="11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100%</w:t>
            </w:r>
          </w:p>
        </w:tc>
        <w:tc>
          <w:tcPr>
            <w:tcW w:type="dxa" w:w="115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100%</w:t>
            </w:r>
          </w:p>
        </w:tc>
        <w:tc>
          <w:tcPr>
            <w:tcW w:type="dxa" w:w="1296"/>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100%</w:t>
            </w:r>
          </w:p>
        </w:tc>
        <w:tc>
          <w:tcPr>
            <w:tcW w:type="dxa" w:w="482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No offline spend without a tracked number/QR/URL.</w:t>
            </w:r>
          </w:p>
        </w:tc>
      </w:tr>
      <w:tr>
        <w:tc>
          <w:tcPr>
            <w:tcW w:type="dxa" w:w="210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Online-assisted leads / retargeted inquiries</w:t>
            </w:r>
          </w:p>
        </w:tc>
        <w:tc>
          <w:tcPr>
            <w:tcW w:type="dxa" w:w="210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10</w:t>
            </w:r>
          </w:p>
        </w:tc>
        <w:tc>
          <w:tcPr>
            <w:tcW w:type="dxa" w:w="210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30</w:t>
            </w:r>
          </w:p>
        </w:tc>
        <w:tc>
          <w:tcPr>
            <w:tcW w:type="dxa" w:w="210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60+</w:t>
            </w:r>
          </w:p>
        </w:tc>
        <w:tc>
          <w:tcPr>
            <w:tcW w:type="dxa" w:w="210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Small support channel only; judge by qualified request rate, not raw clicks.</w:t>
            </w:r>
          </w:p>
        </w:tc>
      </w:tr>
    </w:tbl>
    <w:p>
      <w:pPr>
        <w:spacing w:before="200" w:after="60"/>
      </w:pPr>
      <w:r>
        <w:rPr>
          <w:rFonts w:ascii="Georgia" w:hAnsi="Georgia"/>
          <w:b/>
          <w:color w:val="0F3D3E"/>
          <w:sz w:val="30"/>
        </w:rPr>
        <w:t>7. Brand &amp; Messaging System</w:t>
      </w:r>
    </w:p>
    <w:tbl>
      <w:tblPr>
        <w:tblW w:type="auto" w:w="0"/>
        <w:jc w:val="center"/>
        <w:tblLook w:firstColumn="1" w:firstRow="1" w:lastColumn="0" w:lastRow="0" w:noHBand="0" w:noVBand="1" w:val="04A0"/>
      </w:tblPr>
      <w:tblGrid>
        <w:gridCol w:w="10512"/>
      </w:tblGrid>
      <w:tr>
        <w:tc>
          <w:tcPr>
            <w:tcW w:type="dxa" w:w="10512"/>
            <w:shd w:fill="F1ECFF"/>
            <w:tcBorders>
              <w:top w:val="single" w:sz="8" w:space="0" w:color="D7C8F6"/>
              <w:left w:val="single" w:sz="8" w:space="0" w:color="D7C8F6"/>
              <w:bottom w:val="single" w:sz="8" w:space="0" w:color="D7C8F6"/>
              <w:right w:val="single" w:sz="8" w:space="0" w:color="D7C8F6"/>
            </w:tcBorders>
            <w:tcMar>
              <w:top w:w="100" w:type="dxa"/>
              <w:start w:w="110" w:type="dxa"/>
              <w:bottom w:w="100" w:type="dxa"/>
              <w:end w:w="110" w:type="dxa"/>
            </w:tcMar>
          </w:tcPr>
          <w:p>
            <w:pPr>
              <w:spacing w:before="0" w:after="40"/>
            </w:pPr>
            <w:r>
              <w:rPr>
                <w:rFonts w:ascii="Aptos" w:hAnsi="Aptos"/>
                <w:b/>
                <w:i w:val="0"/>
                <w:color w:val="0F3D3E"/>
                <w:sz w:val="18"/>
              </w:rPr>
              <w:t>Core family message</w:t>
            </w:r>
          </w:p>
          <w:p>
            <w:pPr>
              <w:spacing w:before="0" w:after="100"/>
            </w:pPr>
            <w:r>
              <w:rPr>
                <w:rFonts w:ascii="Aptos" w:hAnsi="Aptos"/>
                <w:b w:val="0"/>
                <w:i w:val="0"/>
                <w:color w:val="223A39"/>
                <w:sz w:val="20"/>
              </w:rPr>
              <w:t>When Mom does not need a four-hour agency shift, but does need a trusted person for groceries, meal prep, reminders, errands, respite, or companionship, HomeCare HUB makes help simple to find and easy to trust.</w:t>
            </w:r>
          </w:p>
          <w:p>
            <w:pPr>
              <w:spacing w:before="0" w:after="40"/>
            </w:pPr>
            <w:r>
              <w:rPr>
                <w:rFonts w:ascii="Aptos" w:hAnsi="Aptos"/>
                <w:b/>
                <w:i w:val="0"/>
                <w:color w:val="0F3D3E"/>
                <w:sz w:val="18"/>
              </w:rPr>
              <w:t>Billboard / radio message</w:t>
            </w:r>
          </w:p>
          <w:p>
            <w:pPr>
              <w:spacing w:before="0" w:after="100"/>
            </w:pPr>
            <w:r>
              <w:rPr>
                <w:rFonts w:ascii="Aptos" w:hAnsi="Aptos"/>
                <w:b w:val="0"/>
                <w:i w:val="0"/>
                <w:color w:val="223A39"/>
                <w:sz w:val="19"/>
              </w:rPr>
              <w:t>Need trusted help for Mom for one hour? HomeCare HUB connects families with non-medical support for errands, meals, reminders, respite, and companionship. Raleigh launch now open.</w:t>
            </w:r>
          </w:p>
          <w:p>
            <w:pPr>
              <w:spacing w:before="0" w:after="40"/>
            </w:pPr>
            <w:r>
              <w:rPr>
                <w:rFonts w:ascii="Aptos" w:hAnsi="Aptos"/>
                <w:b/>
                <w:i w:val="0"/>
                <w:color w:val="0F3D3E"/>
                <w:sz w:val="18"/>
              </w:rPr>
              <w:t>Partner message</w:t>
            </w:r>
          </w:p>
          <w:p>
            <w:pPr>
              <w:spacing w:before="0" w:after="0"/>
            </w:pPr>
            <w:r>
              <w:rPr>
                <w:rFonts w:ascii="Aptos" w:hAnsi="Aptos"/>
                <w:b w:val="0"/>
                <w:i w:val="0"/>
                <w:color w:val="223A39"/>
                <w:sz w:val="19"/>
              </w:rPr>
              <w:t>HomeCare HUB fills the gap when a family needs low-acuity, non-medical help quickly but does not need a traditional agency shift. We are a private-pay marketplace for short-duration daily-life support, with clear service boundaries and trackable visit records.</w:t>
            </w:r>
          </w:p>
        </w:tc>
      </w:tr>
    </w:tbl>
    <w:p>
      <w:pPr>
        <w:spacing w:before="200" w:after="60"/>
      </w:pPr>
      <w:r>
        <w:rPr>
          <w:rFonts w:ascii="Georgia" w:hAnsi="Georgia"/>
          <w:b/>
          <w:color w:val="0F3D3E"/>
          <w:sz w:val="30"/>
        </w:rPr>
        <w:t>8. Operating Rules For Marketing</w:t>
      </w:r>
    </w:p>
    <w:p>
      <w:pPr>
        <w:pStyle w:val="ListBullet"/>
        <w:spacing w:after="40"/>
        <w:ind w:left="331" w:hanging="173"/>
      </w:pPr>
      <w:r>
        <w:rPr>
          <w:rFonts w:ascii="Aptos" w:hAnsi="Aptos"/>
          <w:color w:val="223A39"/>
          <w:sz w:val="17"/>
        </w:rPr>
        <w:t>No channel launches without a dedicated tracking number, QR code, vanity URL, or source code.</w:t>
      </w:r>
    </w:p>
    <w:p>
      <w:pPr>
        <w:pStyle w:val="ListBullet"/>
        <w:spacing w:after="40"/>
        <w:ind w:left="331" w:hanging="173"/>
      </w:pPr>
      <w:r>
        <w:rPr>
          <w:rFonts w:ascii="Aptos" w:hAnsi="Aptos"/>
          <w:color w:val="223A39"/>
          <w:sz w:val="17"/>
        </w:rPr>
        <w:t>Every advertisement must say or imply the same boundary: non-medical support, no hands-on ADLs, no medication administration.</w:t>
      </w:r>
    </w:p>
    <w:p>
      <w:pPr>
        <w:pStyle w:val="ListBullet"/>
        <w:spacing w:after="40"/>
        <w:ind w:left="331" w:hanging="173"/>
      </w:pPr>
      <w:r>
        <w:rPr>
          <w:rFonts w:ascii="Aptos" w:hAnsi="Aptos"/>
          <w:color w:val="223A39"/>
          <w:sz w:val="17"/>
        </w:rPr>
        <w:t>Response speed is part of the brand: all inbound family leads should receive a response within 15 minutes during business hours and within 2 hours otherwise.</w:t>
      </w:r>
    </w:p>
    <w:p>
      <w:pPr>
        <w:pStyle w:val="ListBullet"/>
        <w:spacing w:after="40"/>
        <w:ind w:left="331" w:hanging="173"/>
      </w:pPr>
      <w:r>
        <w:rPr>
          <w:rFonts w:ascii="Aptos" w:hAnsi="Aptos"/>
          <w:color w:val="223A39"/>
          <w:sz w:val="17"/>
        </w:rPr>
        <w:t>Field outreach must be logged in CRM: contact, organization, date, next step, source tag, and whether the partner is warm/neutral/cold.</w:t>
      </w:r>
    </w:p>
    <w:p>
      <w:pPr>
        <w:pStyle w:val="ListBullet"/>
        <w:spacing w:after="40"/>
        <w:ind w:left="331" w:hanging="173"/>
      </w:pPr>
      <w:r>
        <w:rPr>
          <w:rFonts w:ascii="Aptos" w:hAnsi="Aptos"/>
          <w:color w:val="223A39"/>
          <w:sz w:val="17"/>
        </w:rPr>
        <w:t>Creative should be simple, high-trust, and human. Avoid ?gig app? language; use care, family, independence, relief, and trust language.</w:t>
      </w:r>
    </w:p>
    <w:p>
      <w:pPr>
        <w:pStyle w:val="ListBullet"/>
        <w:spacing w:after="40"/>
        <w:ind w:left="331" w:hanging="173"/>
      </w:pPr>
      <w:r>
        <w:rPr>
          <w:rFonts w:ascii="Aptos" w:hAnsi="Aptos"/>
          <w:color w:val="223A39"/>
          <w:sz w:val="17"/>
        </w:rPr>
        <w:t>If a channel cannot show at least directional attribution by Day 45, keep it only if it creates strategic credibility or partner trust.</w:t>
      </w:r>
    </w:p>
    <w:p>
      <w:pPr>
        <w:spacing w:before="200" w:after="60"/>
      </w:pPr>
      <w:r>
        <w:rPr>
          <w:rFonts w:ascii="Georgia" w:hAnsi="Georgia"/>
          <w:b/>
          <w:color w:val="0F3D3E"/>
          <w:sz w:val="30"/>
        </w:rPr>
        <w:t>9. Risk Controls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2088"/>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4"/>
              </w:rPr>
              <w:t>Risk</w:t>
            </w:r>
          </w:p>
        </w:tc>
        <w:tc>
          <w:tcPr>
            <w:tcW w:type="dxa" w:w="3744"/>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4"/>
              </w:rPr>
              <w:t>Why it matters</w:t>
            </w:r>
          </w:p>
        </w:tc>
        <w:tc>
          <w:tcPr>
            <w:tcW w:type="dxa" w:w="5112"/>
            <w:shd w:fill="0F3D3E"/>
            <w:tcBorders>
              <w:top w:val="single" w:sz="6" w:space="0" w:color="0F3D3E"/>
              <w:left w:val="single" w:sz="6" w:space="0" w:color="0F3D3E"/>
              <w:bottom w:val="single" w:sz="6" w:space="0" w:color="0F3D3E"/>
              <w:right w:val="single" w:sz="6" w:space="0" w:color="0F3D3E"/>
            </w:tcBorders>
            <w:tcMar>
              <w:top w:w="45" w:type="dxa"/>
              <w:start w:w="55" w:type="dxa"/>
              <w:bottom w:w="45" w:type="dxa"/>
              <w:end w:w="55" w:type="dxa"/>
            </w:tcMar>
            <w:vAlign w:val="top"/>
          </w:tcPr>
          <w:p>
            <w:pPr>
              <w:spacing w:after="0"/>
            </w:pPr>
            <w:r>
              <w:rPr>
                <w:rFonts w:ascii="Aptos" w:hAnsi="Aptos"/>
                <w:b/>
                <w:color w:val="FFFFFF"/>
                <w:sz w:val="14"/>
              </w:rPr>
              <w:t>Control</w:t>
            </w:r>
          </w:p>
        </w:tc>
      </w:tr>
      <w:tr>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Message confusion</w:t>
            </w:r>
          </w:p>
        </w:tc>
        <w:tc>
          <w:tcPr>
            <w:tcW w:type="dxa" w:w="374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Families think HomeCare HUB is a licensed medical/personal-care agency.</w:t>
            </w:r>
          </w:p>
        </w:tc>
        <w:tc>
          <w:tcPr>
            <w:tcW w:type="dxa" w:w="51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Use ?non-medical, no hands-on ADLs? everywhere; add service boundary card and intake screening.</w:t>
            </w:r>
          </w:p>
        </w:tc>
      </w:tr>
      <w:tr>
        <w:tc>
          <w:tcPr>
            <w:tcW w:type="dxa" w:w="208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Offline spend is hard to attribute</w:t>
            </w:r>
          </w:p>
        </w:tc>
        <w:tc>
          <w:tcPr>
            <w:tcW w:type="dxa" w:w="374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Billboards/radio produce awareness but not clean last-click conversions.</w:t>
            </w:r>
          </w:p>
        </w:tc>
        <w:tc>
          <w:tcPr>
            <w:tcW w:type="dxa" w:w="511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Unique numbers, QR codes, vanity URLs, intake source question, weekly assisted-conversion review.</w:t>
            </w:r>
          </w:p>
        </w:tc>
      </w:tr>
      <w:tr>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Too much broad awareness too early</w:t>
            </w:r>
          </w:p>
        </w:tc>
        <w:tc>
          <w:tcPr>
            <w:tcW w:type="dxa" w:w="374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Leads arrive before operations can respond fast enough.</w:t>
            </w:r>
          </w:p>
        </w:tc>
        <w:tc>
          <w:tcPr>
            <w:tcW w:type="dxa" w:w="51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Cap channel flights; launch by ZIP; response SLA under 15 minutes during business hours.</w:t>
            </w:r>
          </w:p>
        </w:tc>
      </w:tr>
      <w:tr>
        <w:tc>
          <w:tcPr>
            <w:tcW w:type="dxa" w:w="208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Partner referral compliance</w:t>
            </w:r>
          </w:p>
        </w:tc>
        <w:tc>
          <w:tcPr>
            <w:tcW w:type="dxa" w:w="374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Improper ?kickback? or paid referral perception.</w:t>
            </w:r>
          </w:p>
        </w:tc>
        <w:tc>
          <w:tcPr>
            <w:tcW w:type="dxa" w:w="511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Use awareness/education and permitted marketing only; legal review any paid referral program.</w:t>
            </w:r>
          </w:p>
        </w:tc>
      </w:tr>
      <w:tr>
        <w:tc>
          <w:tcPr>
            <w:tcW w:type="dxa" w:w="20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Caregiver reliability</w:t>
            </w:r>
          </w:p>
        </w:tc>
        <w:tc>
          <w:tcPr>
            <w:tcW w:type="dxa" w:w="374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Marketing creates demand but supply does not respond fast enough.</w:t>
            </w:r>
          </w:p>
        </w:tc>
        <w:tc>
          <w:tcPr>
            <w:tcW w:type="dxa" w:w="511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Activate caregiver cohorts before each media flight; track acceptance and response time.</w:t>
            </w:r>
          </w:p>
        </w:tc>
      </w:tr>
      <w:tr>
        <w:tc>
          <w:tcPr>
            <w:tcW w:type="dxa" w:w="350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Digital ad waste</w:t>
            </w:r>
          </w:p>
        </w:tc>
        <w:tc>
          <w:tcPr>
            <w:tcW w:type="dxa" w:w="350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Facebook/Instagram can generate low-intent leads if optimized for cheap forms instead of qualified family requests.</w:t>
            </w:r>
          </w:p>
        </w:tc>
        <w:tc>
          <w:tcPr>
            <w:tcW w:type="dxa" w:w="350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4"/>
              </w:rPr>
              <w:t>Use small budgets, source-coded landing pages, lead-quality review, exclusions, and retargeting-first campaigns.</w:t>
            </w:r>
          </w:p>
        </w:tc>
      </w:tr>
    </w:tbl>
    <w:p>
      <w:pPr>
        <w:spacing w:before="200" w:after="60"/>
      </w:pPr>
      <w:r>
        <w:rPr>
          <w:rFonts w:ascii="Georgia" w:hAnsi="Georgia"/>
          <w:b/>
          <w:color w:val="0F3D3E"/>
          <w:sz w:val="30"/>
        </w:rPr>
        <w:t>10. Decision Gates</w:t>
      </w:r>
    </w:p>
    <w:p>
      <w:pPr>
        <w:pStyle w:val="ListBullet"/>
        <w:spacing w:after="40"/>
        <w:ind w:left="331" w:hanging="173"/>
      </w:pPr>
      <w:r>
        <w:rPr>
          <w:rFonts w:ascii="Aptos" w:hAnsi="Aptos"/>
          <w:color w:val="223A39"/>
          <w:sz w:val="17"/>
        </w:rPr>
        <w:t>Day 15: Do not spend on media until tracking, landing pages, intake scripts, and service-scope language are live.</w:t>
      </w:r>
    </w:p>
    <w:p>
      <w:pPr>
        <w:pStyle w:val="ListBullet"/>
        <w:spacing w:after="40"/>
        <w:ind w:left="331" w:hanging="173"/>
      </w:pPr>
      <w:r>
        <w:rPr>
          <w:rFonts w:ascii="Aptos" w:hAnsi="Aptos"/>
          <w:color w:val="223A39"/>
          <w:sz w:val="17"/>
        </w:rPr>
        <w:t>Day 30: If partner conversations are weak, improve the partner offer and founder script before increasing broad media spend.</w:t>
      </w:r>
    </w:p>
    <w:p>
      <w:pPr>
        <w:pStyle w:val="ListBullet"/>
        <w:spacing w:after="40"/>
        <w:ind w:left="331" w:hanging="173"/>
      </w:pPr>
      <w:r>
        <w:rPr>
          <w:rFonts w:ascii="Aptos" w:hAnsi="Aptos"/>
          <w:color w:val="223A39"/>
          <w:sz w:val="17"/>
        </w:rPr>
        <w:t>Day 45: Shift 20%-30% of remaining budget toward the top two sources by qualified request, not raw lead count.</w:t>
      </w:r>
    </w:p>
    <w:p>
      <w:pPr>
        <w:pStyle w:val="ListBullet"/>
        <w:spacing w:after="40"/>
        <w:ind w:left="331" w:hanging="173"/>
      </w:pPr>
      <w:r>
        <w:rPr>
          <w:rFonts w:ascii="Aptos" w:hAnsi="Aptos"/>
          <w:color w:val="223A39"/>
          <w:sz w:val="17"/>
        </w:rPr>
        <w:t>Day 60: If completed visits are low but leads are high, fix operations/intake before buying more awareness.</w:t>
      </w:r>
    </w:p>
    <w:p>
      <w:pPr>
        <w:pStyle w:val="ListBullet"/>
        <w:spacing w:after="40"/>
        <w:ind w:left="331" w:hanging="173"/>
      </w:pPr>
      <w:r>
        <w:rPr>
          <w:rFonts w:ascii="Aptos" w:hAnsi="Aptos"/>
          <w:color w:val="223A39"/>
          <w:sz w:val="17"/>
        </w:rPr>
        <w:t>Day 75: Prepare investor traction pack: budget spent, leads, qualified requests, bookings, CAC by source, partner funnel, testimonials, and next 90-day budget.</w:t>
      </w:r>
    </w:p>
    <w:p>
      <w:pPr>
        <w:pStyle w:val="ListBullet"/>
        <w:spacing w:after="40"/>
        <w:ind w:left="331" w:hanging="173"/>
      </w:pPr>
      <w:r>
        <w:rPr>
          <w:rFonts w:ascii="Aptos" w:hAnsi="Aptos"/>
          <w:color w:val="223A39"/>
          <w:sz w:val="17"/>
        </w:rPr>
        <w:t>Day 90: Decide whether to expand within Wake County, add a second NC metro, or deepen the app/AI trust layer before expanding spend.</w:t>
      </w:r>
    </w:p>
    <w:p>
      <w:pPr>
        <w:spacing w:before="200" w:after="60"/>
      </w:pPr>
      <w:r>
        <w:rPr>
          <w:rFonts w:ascii="Georgia" w:hAnsi="Georgia"/>
          <w:b/>
          <w:color w:val="0F3D3E"/>
          <w:sz w:val="30"/>
        </w:rPr>
        <w:t>11. Budget Scenarios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872"/>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Scenario</w:t>
            </w:r>
          </w:p>
        </w:tc>
        <w:tc>
          <w:tcPr>
            <w:tcW w:type="dxa" w:w="1584"/>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Budget</w:t>
            </w:r>
          </w:p>
        </w:tc>
        <w:tc>
          <w:tcPr>
            <w:tcW w:type="dxa" w:w="7488"/>
            <w:shd w:fill="CC8F34"/>
            <w:tcBorders>
              <w:top w:val="single" w:sz="6" w:space="0" w:color="CC8F34"/>
              <w:left w:val="single" w:sz="6" w:space="0" w:color="CC8F34"/>
              <w:bottom w:val="single" w:sz="6" w:space="0" w:color="CC8F34"/>
              <w:right w:val="single" w:sz="6" w:space="0" w:color="CC8F34"/>
            </w:tcBorders>
            <w:tcMar>
              <w:top w:w="45" w:type="dxa"/>
              <w:start w:w="55" w:type="dxa"/>
              <w:bottom w:w="45" w:type="dxa"/>
              <w:end w:w="55" w:type="dxa"/>
            </w:tcMar>
            <w:vAlign w:val="top"/>
          </w:tcPr>
          <w:p>
            <w:pPr>
              <w:spacing w:after="0"/>
            </w:pPr>
            <w:r>
              <w:rPr>
                <w:rFonts w:ascii="Aptos" w:hAnsi="Aptos"/>
                <w:b/>
                <w:color w:val="FFFFFF"/>
                <w:sz w:val="14"/>
              </w:rPr>
              <w:t>Use when</w:t>
            </w:r>
          </w:p>
        </w:tc>
      </w:tr>
      <w:tr>
        <w:tc>
          <w:tcPr>
            <w:tcW w:type="dxa" w:w="187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Lean</w:t>
            </w:r>
          </w:p>
        </w:tc>
        <w:tc>
          <w:tcPr>
            <w:tcW w:type="dxa" w:w="158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$42K-$46K</w:t>
            </w:r>
          </w:p>
        </w:tc>
        <w:tc>
          <w:tcPr>
            <w:tcW w:type="dxa" w:w="74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Brand/tracking, partner engine, one OOH/signage test, limited direct mail, minimal audio, and a very small retargeting layer.</w:t>
            </w:r>
          </w:p>
        </w:tc>
      </w:tr>
      <w:tr>
        <w:tc>
          <w:tcPr>
            <w:tcW w:type="dxa" w:w="1872"/>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Recommended</w:t>
            </w:r>
          </w:p>
        </w:tc>
        <w:tc>
          <w:tcPr>
            <w:tcW w:type="dxa" w:w="1584"/>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223A39"/>
                <w:sz w:val="14"/>
              </w:rPr>
              <w:t>$68K</w:t>
            </w:r>
          </w:p>
        </w:tc>
        <w:tc>
          <w:tcPr>
            <w:tcW w:type="dxa" w:w="7488"/>
            <w:shd w:fill="FFFFFF"/>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223A39"/>
                <w:sz w:val="14"/>
              </w:rPr>
              <w:t>Balanced 90-day trust launch with OOH, partner engine, direct mail, audio/CTV, small Meta/online retargeting, PR, and tracking.</w:t>
            </w:r>
          </w:p>
        </w:tc>
      </w:tr>
      <w:tr>
        <w:tc>
          <w:tcPr>
            <w:tcW w:type="dxa" w:w="1872"/>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4"/>
              </w:rPr>
              <w:t>Aggressive</w:t>
            </w:r>
          </w:p>
        </w:tc>
        <w:tc>
          <w:tcPr>
            <w:tcW w:type="dxa" w:w="158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$90K-$100K</w:t>
            </w:r>
          </w:p>
        </w:tc>
        <w:tc>
          <w:tcPr>
            <w:tcW w:type="dxa" w:w="7488"/>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color w:val="223A39"/>
                <w:sz w:val="14"/>
              </w:rPr>
              <w:t>More OOH inventory, heavier CTV/local audio, larger direct mail, larger Meta/online retargeting, paid community sponsorships, faster creative iteration.</w:t>
            </w:r>
          </w:p>
        </w:tc>
      </w:tr>
    </w:tbl>
    <w:p>
      <w:pPr>
        <w:spacing w:before="200" w:after="60"/>
      </w:pPr>
      <w:r>
        <w:rPr>
          <w:rFonts w:ascii="Georgia" w:hAnsi="Georgia"/>
          <w:b/>
          <w:color w:val="0F3D3E"/>
          <w:sz w:val="30"/>
        </w:rPr>
        <w:t>12. Source Benchmarks</w:t>
      </w:r>
    </w:p>
    <w:p>
      <w:pPr>
        <w:spacing w:before="0" w:after="80"/>
      </w:pPr>
      <w:r>
        <w:rPr>
          <w:rFonts w:ascii="Aptos" w:hAnsi="Aptos"/>
          <w:b w:val="0"/>
          <w:i/>
          <w:color w:val="667574"/>
          <w:sz w:val="17"/>
        </w:rPr>
        <w:t>These references were used only to ground planning ranges. Actual insertion orders, production requirements, availability, and negotiated rates should be checked before committing funds.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2520"/>
            <w:shd w:fill="0F3D3E"/>
            <w:tcBorders>
              <w:top w:val="single" w:sz="6" w:space="0" w:color="0F3D3E"/>
              <w:left w:val="single" w:sz="6" w:space="0" w:color="0F3D3E"/>
              <w:bottom w:val="single" w:sz="6" w:space="0" w:color="0F3D3E"/>
              <w:right w:val="single" w:sz="6" w:space="0" w:color="0F3D3E"/>
            </w:tcBorders>
            <w:tcMar>
              <w:top w:w="40" w:type="dxa"/>
              <w:start w:w="50" w:type="dxa"/>
              <w:bottom w:w="40" w:type="dxa"/>
              <w:end w:w="50" w:type="dxa"/>
            </w:tcMar>
          </w:tcPr>
          <w:p>
            <w:r>
              <w:rPr>
                <w:rFonts w:ascii="Aptos" w:hAnsi="Aptos"/>
                <w:b/>
                <w:color w:val="FFFFFF"/>
                <w:sz w:val="14"/>
              </w:rPr>
              <w:t>Source</w:t>
            </w:r>
          </w:p>
        </w:tc>
        <w:tc>
          <w:tcPr>
            <w:tcW w:type="dxa" w:w="4752"/>
            <w:shd w:fill="0F3D3E"/>
            <w:tcBorders>
              <w:top w:val="single" w:sz="6" w:space="0" w:color="0F3D3E"/>
              <w:left w:val="single" w:sz="6" w:space="0" w:color="0F3D3E"/>
              <w:bottom w:val="single" w:sz="6" w:space="0" w:color="0F3D3E"/>
              <w:right w:val="single" w:sz="6" w:space="0" w:color="0F3D3E"/>
            </w:tcBorders>
            <w:tcMar>
              <w:top w:w="40" w:type="dxa"/>
              <w:start w:w="50" w:type="dxa"/>
              <w:bottom w:w="40" w:type="dxa"/>
              <w:end w:w="50" w:type="dxa"/>
            </w:tcMar>
          </w:tcPr>
          <w:p>
            <w:r>
              <w:rPr>
                <w:rFonts w:ascii="Aptos" w:hAnsi="Aptos"/>
                <w:b/>
                <w:color w:val="FFFFFF"/>
                <w:sz w:val="14"/>
              </w:rPr>
              <w:t>Planning use</w:t>
            </w:r>
          </w:p>
        </w:tc>
        <w:tc>
          <w:tcPr>
            <w:tcW w:type="dxa" w:w="3671"/>
            <w:shd w:fill="0F3D3E"/>
            <w:tcBorders>
              <w:top w:val="single" w:sz="6" w:space="0" w:color="0F3D3E"/>
              <w:left w:val="single" w:sz="6" w:space="0" w:color="0F3D3E"/>
              <w:bottom w:val="single" w:sz="6" w:space="0" w:color="0F3D3E"/>
              <w:right w:val="single" w:sz="6" w:space="0" w:color="0F3D3E"/>
            </w:tcBorders>
            <w:tcMar>
              <w:top w:w="40" w:type="dxa"/>
              <w:start w:w="50" w:type="dxa"/>
              <w:bottom w:w="40" w:type="dxa"/>
              <w:end w:w="50" w:type="dxa"/>
            </w:tcMar>
          </w:tcPr>
          <w:p>
            <w:r>
              <w:rPr>
                <w:rFonts w:ascii="Aptos" w:hAnsi="Aptos"/>
                <w:b/>
                <w:color w:val="FFFFFF"/>
                <w:sz w:val="14"/>
              </w:rPr>
              <w:t>URL</w:t>
            </w:r>
          </w:p>
        </w:tc>
      </w:tr>
      <w:tr>
        <w:tc>
          <w:tcPr>
            <w:tcW w:type="dxa" w:w="2520"/>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color w:val="0F3D3E"/>
                <w:sz w:val="13"/>
              </w:rPr>
              <w:t>AdQuick Raleigh billboard pricing</w:t>
            </w:r>
          </w:p>
        </w:tc>
        <w:tc>
          <w:tcPr>
            <w:tcW w:type="dxa" w:w="4752"/>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val="0"/>
                <w:color w:val="223A39"/>
                <w:sz w:val="13"/>
              </w:rPr>
              <w:t>Raleigh OOH range: about $500 to $8,000+ per 4-week flight; median around $2,600; digital $1,500-$7,500.</w:t>
            </w:r>
          </w:p>
        </w:tc>
        <w:tc>
          <w:tcPr>
            <w:tcW w:type="dxa" w:w="3671"/>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hyperlink r:id="rId11">
              <w:r>
                <w:rPr>
                  <w:color w:val="4F6FAF"/>
                  <w:u w:val="single"/>
                </w:rPr>
                <w:t>https://www.adquick.com/billboard-advertising/raleigh-nc</w:t>
              </w:r>
            </w:hyperlink>
          </w:p>
        </w:tc>
      </w:tr>
      <w:tr>
        <w:tc>
          <w:tcPr>
            <w:tcW w:type="dxa" w:w="2520"/>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color w:val="0F3D3E"/>
                <w:sz w:val="13"/>
              </w:rPr>
              <w:t>BillboardsIn Raleigh rates</w:t>
            </w:r>
          </w:p>
        </w:tc>
        <w:tc>
          <w:tcPr>
            <w:tcW w:type="dxa" w:w="4752"/>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val="0"/>
                <w:color w:val="223A39"/>
                <w:sz w:val="13"/>
              </w:rPr>
              <w:t>Estimated Raleigh monthly billboard rates: junior poster ~$800, poster ~$1,500, bulletin ~$3,500, digital bulletin ~$2,500.</w:t>
            </w:r>
          </w:p>
        </w:tc>
        <w:tc>
          <w:tcPr>
            <w:tcW w:type="dxa" w:w="3671"/>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hyperlink r:id="rId12">
              <w:r>
                <w:rPr>
                  <w:color w:val="4F6FAF"/>
                  <w:u w:val="single"/>
                </w:rPr>
                <w:t>https://www.billboardsin.com/north-carolina/raleigh.html</w:t>
              </w:r>
            </w:hyperlink>
          </w:p>
        </w:tc>
      </w:tr>
      <w:tr>
        <w:tc>
          <w:tcPr>
            <w:tcW w:type="dxa" w:w="2520"/>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color w:val="0F3D3E"/>
                <w:sz w:val="13"/>
              </w:rPr>
              <w:t>Alluvit Raleigh billboard average</w:t>
            </w:r>
          </w:p>
        </w:tc>
        <w:tc>
          <w:tcPr>
            <w:tcW w:type="dxa" w:w="4752"/>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val="0"/>
                <w:color w:val="223A39"/>
                <w:sz w:val="13"/>
              </w:rPr>
              <w:t>Average Raleigh billboard cost cited at about $4,325 per 4-week period across popular boards.</w:t>
            </w:r>
          </w:p>
        </w:tc>
        <w:tc>
          <w:tcPr>
            <w:tcW w:type="dxa" w:w="3671"/>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hyperlink r:id="rId13">
              <w:r>
                <w:rPr>
                  <w:color w:val="4F6FAF"/>
                  <w:u w:val="single"/>
                </w:rPr>
                <w:t>https://www.alluvitmedia.com/billboard-advertising/nc/raleigh.php</w:t>
              </w:r>
            </w:hyperlink>
          </w:p>
        </w:tc>
      </w:tr>
      <w:tr>
        <w:tc>
          <w:tcPr>
            <w:tcW w:type="dxa" w:w="2520"/>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color w:val="0F3D3E"/>
                <w:sz w:val="13"/>
              </w:rPr>
              <w:t>Simulmedia TV cost guide</w:t>
            </w:r>
          </w:p>
        </w:tc>
        <w:tc>
          <w:tcPr>
            <w:tcW w:type="dxa" w:w="4752"/>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val="0"/>
                <w:color w:val="223A39"/>
                <w:sz w:val="13"/>
              </w:rPr>
              <w:t>Local 30-second TV spots can start around $500, with wide variance by market and daypart.</w:t>
            </w:r>
          </w:p>
        </w:tc>
        <w:tc>
          <w:tcPr>
            <w:tcW w:type="dxa" w:w="3671"/>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hyperlink r:id="rId14">
              <w:r>
                <w:rPr>
                  <w:color w:val="4F6FAF"/>
                  <w:u w:val="single"/>
                </w:rPr>
                <w:t>https://www.simulmedia.com/blog/tv-advertising-cost-inventory-and-pricing-options</w:t>
              </w:r>
            </w:hyperlink>
          </w:p>
        </w:tc>
      </w:tr>
      <w:tr>
        <w:tc>
          <w:tcPr>
            <w:tcW w:type="dxa" w:w="2520"/>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color w:val="0F3D3E"/>
                <w:sz w:val="13"/>
              </w:rPr>
              <w:t>MNTN TV advertising cost guide</w:t>
            </w:r>
          </w:p>
        </w:tc>
        <w:tc>
          <w:tcPr>
            <w:tcW w:type="dxa" w:w="4752"/>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val="0"/>
                <w:color w:val="223A39"/>
                <w:sz w:val="13"/>
              </w:rPr>
              <w:t>Local TV often discussed around $15-$35 CPM; cable around $10-$30 CPM.</w:t>
            </w:r>
          </w:p>
        </w:tc>
        <w:tc>
          <w:tcPr>
            <w:tcW w:type="dxa" w:w="3671"/>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hyperlink r:id="rId15">
              <w:r>
                <w:rPr>
                  <w:color w:val="4F6FAF"/>
                  <w:u w:val="single"/>
                </w:rPr>
                <w:t>https://mountain.com/blog/tv-advertising-cost/</w:t>
              </w:r>
            </w:hyperlink>
          </w:p>
        </w:tc>
      </w:tr>
      <w:tr>
        <w:tc>
          <w:tcPr>
            <w:tcW w:type="dxa" w:w="2520"/>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color w:val="0F3D3E"/>
                <w:sz w:val="13"/>
              </w:rPr>
              <w:t>iHeart Raleigh advertising</w:t>
            </w:r>
          </w:p>
        </w:tc>
        <w:tc>
          <w:tcPr>
            <w:tcW w:type="dxa" w:w="4752"/>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val="0"/>
                <w:color w:val="223A39"/>
                <w:sz w:val="13"/>
              </w:rPr>
              <w:t>Raleigh radio/audio advertising availability and local station network.</w:t>
            </w:r>
          </w:p>
        </w:tc>
        <w:tc>
          <w:tcPr>
            <w:tcW w:type="dxa" w:w="3671"/>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hyperlink r:id="rId16">
              <w:r>
                <w:rPr>
                  <w:color w:val="4F6FAF"/>
                  <w:u w:val="single"/>
                </w:rPr>
                <w:t>https://www.iheartmedia.com/stations?market=RALEIGH-NC</w:t>
              </w:r>
            </w:hyperlink>
          </w:p>
        </w:tc>
      </w:tr>
      <w:tr>
        <w:tc>
          <w:tcPr>
            <w:tcW w:type="dxa" w:w="2520"/>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color w:val="0F3D3E"/>
                <w:sz w:val="13"/>
              </w:rPr>
              <w:t>Mail Movers 2026 direct mail guide</w:t>
            </w:r>
          </w:p>
        </w:tc>
        <w:tc>
          <w:tcPr>
            <w:tcW w:type="dxa" w:w="4752"/>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val="0"/>
                <w:color w:val="223A39"/>
                <w:sz w:val="13"/>
              </w:rPr>
              <w:t>2026 direct mail postage and per-piece planning ranges for postcards/marketing mail.</w:t>
            </w:r>
          </w:p>
        </w:tc>
        <w:tc>
          <w:tcPr>
            <w:tcW w:type="dxa" w:w="3671"/>
            <w:shd w:fill="FFFCF8"/>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hyperlink r:id="rId17">
              <w:r>
                <w:rPr>
                  <w:color w:val="4F6FAF"/>
                  <w:u w:val="single"/>
                </w:rPr>
                <w:t>https://mailmovers.com/resources/direct-mail-pricing</w:t>
              </w:r>
            </w:hyperlink>
          </w:p>
        </w:tc>
      </w:tr>
      <w:tr>
        <w:tc>
          <w:tcPr>
            <w:tcW w:type="dxa" w:w="2520"/>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color w:val="0F3D3E"/>
                <w:sz w:val="13"/>
              </w:rPr>
              <w:t>USPS Notice 123</w:t>
            </w:r>
          </w:p>
        </w:tc>
        <w:tc>
          <w:tcPr>
            <w:tcW w:type="dxa" w:w="4752"/>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r>
              <w:rPr>
                <w:rFonts w:ascii="Aptos" w:hAnsi="Aptos"/>
                <w:b w:val="0"/>
                <w:color w:val="223A39"/>
                <w:sz w:val="13"/>
              </w:rPr>
              <w:t>Official USPS January 2026 price list; postcard and commercial mail rate reference.</w:t>
            </w:r>
          </w:p>
        </w:tc>
        <w:tc>
          <w:tcPr>
            <w:tcW w:type="dxa" w:w="3671"/>
            <w:shd w:fill="FFFFFF"/>
            <w:tcBorders>
              <w:top w:val="single" w:sz="4" w:space="0" w:color="DDD2C5"/>
              <w:left w:val="single" w:sz="4" w:space="0" w:color="DDD2C5"/>
              <w:bottom w:val="single" w:sz="4" w:space="0" w:color="DDD2C5"/>
              <w:right w:val="single" w:sz="4" w:space="0" w:color="DDD2C5"/>
            </w:tcBorders>
            <w:tcMar>
              <w:top w:w="35" w:type="dxa"/>
              <w:start w:w="45" w:type="dxa"/>
              <w:bottom w:w="35" w:type="dxa"/>
              <w:end w:w="45" w:type="dxa"/>
            </w:tcMar>
          </w:tcPr>
          <w:p>
            <w:pPr>
              <w:spacing w:after="0"/>
            </w:pPr>
            <w:hyperlink r:id="rId18">
              <w:r>
                <w:rPr>
                  <w:color w:val="4F6FAF"/>
                  <w:u w:val="single"/>
                </w:rPr>
                <w:t>https://pe.usps.com/cpim/ftp/manuals/dmm300/Notice123.pdf</w:t>
              </w:r>
            </w:hyperlink>
          </w:p>
        </w:tc>
      </w:tr>
      <w:tr>
        <w:tc>
          <w:tcPr>
            <w:tcW w:type="dxa" w:w="350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color w:val="0F3D3E"/>
                <w:sz w:val="13"/>
              </w:rPr>
              <w:t>Meta ads pricing / budgets</w:t>
            </w:r>
          </w:p>
        </w:tc>
        <w:tc>
          <w:tcPr>
            <w:tcW w:type="dxa" w:w="350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3"/>
              </w:rPr>
              <w:t>Meta explains that Facebook/Instagram ads use controllable daily or lifetime budgets and auction-based pricing; useful for small controlled tests.</w:t>
            </w:r>
          </w:p>
        </w:tc>
        <w:tc>
          <w:tcPr>
            <w:tcW w:type="dxa" w:w="3504"/>
            <w:shd w:fill="FFFCF8"/>
            <w:tcBorders>
              <w:top w:val="single" w:sz="4" w:space="0" w:color="DDD2C5"/>
              <w:left w:val="single" w:sz="4" w:space="0" w:color="DDD2C5"/>
              <w:bottom w:val="single" w:sz="4" w:space="0" w:color="DDD2C5"/>
              <w:right w:val="single" w:sz="4" w:space="0" w:color="DDD2C5"/>
            </w:tcBorders>
            <w:tcMar>
              <w:top w:w="38" w:type="dxa"/>
              <w:start w:w="50" w:type="dxa"/>
              <w:bottom w:w="38" w:type="dxa"/>
              <w:end w:w="50" w:type="dxa"/>
            </w:tcMar>
            <w:vAlign w:val="top"/>
          </w:tcPr>
          <w:p>
            <w:pPr>
              <w:spacing w:after="0"/>
            </w:pPr>
            <w:r>
              <w:rPr>
                <w:rFonts w:ascii="Aptos" w:hAnsi="Aptos"/>
                <w:b w:val="0"/>
                <w:color w:val="223A39"/>
                <w:sz w:val="13"/>
              </w:rPr>
              <w:t>https://www.facebook.com/business/ads/pricing</w:t>
            </w:r>
          </w:p>
        </w:tc>
      </w:tr>
    </w:tbl>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574"/>
        <w:sz w:val="13"/>
      </w:rPr>
      <w:t>Confidential working plan - budget and media pricing should be re-quoted before insertion orders are signed.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574"/>
        <w:sz w:val="14"/>
      </w:rPr>
      <w:t>HomeCare HUB | 90-Day Marketing &amp; Branding Plan | May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3A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dquick.com/billboard-advertising/raleigh-nc" TargetMode="External"/><Relationship Id="rId12" Type="http://schemas.openxmlformats.org/officeDocument/2006/relationships/hyperlink" Target="https://www.billboardsin.com/north-carolina/raleigh.html" TargetMode="External"/><Relationship Id="rId13" Type="http://schemas.openxmlformats.org/officeDocument/2006/relationships/hyperlink" Target="https://www.alluvitmedia.com/billboard-advertising/nc/raleigh.php" TargetMode="External"/><Relationship Id="rId14" Type="http://schemas.openxmlformats.org/officeDocument/2006/relationships/hyperlink" Target="https://www.simulmedia.com/blog/tv-advertising-cost-inventory-and-pricing-options" TargetMode="External"/><Relationship Id="rId15" Type="http://schemas.openxmlformats.org/officeDocument/2006/relationships/hyperlink" Target="https://mountain.com/blog/tv-advertising-cost/" TargetMode="External"/><Relationship Id="rId16" Type="http://schemas.openxmlformats.org/officeDocument/2006/relationships/hyperlink" Target="https://www.iheartmedia.com/stations?market=RALEIGH-NC" TargetMode="External"/><Relationship Id="rId17" Type="http://schemas.openxmlformats.org/officeDocument/2006/relationships/hyperlink" Target="https://mailmovers.com/resources/direct-mail-pricing" TargetMode="External"/><Relationship Id="rId18" Type="http://schemas.openxmlformats.org/officeDocument/2006/relationships/hyperlink" Target="https://pe.usps.com/cpim/ftp/manuals/dmm300/Notice1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