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72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4F6FAF"/>
                <w:sz w:val="16"/>
              </w:rPr>
              <w:t>90-DAY SIMPLE FORECAST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color w:val="0F3D3E"/>
                <w:sz w:val="50"/>
              </w:rPr>
              <w:t>Revenue Forecast From Launch Marketing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223A39"/>
                <w:sz w:val="20"/>
              </w:rPr>
              <w:t>Forecast based on the current 90-day marketing/branding plan and the simple revenue rule: each active family uses 10 hours per month, the family rate is $30/hour, and HomeCare HUB earns a 10% platform fee on transactions.</w:t>
            </w:r>
          </w:p>
        </w:tc>
        <w:tc>
          <w:tcPr>
            <w:tcW w:type="dxa" w:w="3096"/>
            <w:tcBorders>
              <w:top w:val="single" w:sz="8" w:space="0" w:color="0F3D3E"/>
              <w:left w:val="single" w:sz="8" w:space="0" w:color="0F3D3E"/>
              <w:bottom w:val="single" w:sz="8" w:space="0" w:color="0F3D3E"/>
              <w:right w:val="single" w:sz="8" w:space="0" w:color="0F3D3E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0F3D3E"/>
          </w:tcPr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C8D8D4"/>
                <w:sz w:val="14"/>
              </w:rPr>
              <w:t>BASE CASE 90-DAY CARE GMV</w:t>
            </w:r>
          </w:p>
          <w:p>
            <w:pPr>
              <w:spacing w:before="0" w:after="80"/>
            </w:pPr>
            <w:r>
              <w:rPr>
                <w:rFonts w:ascii="Aptos" w:hAnsi="Aptos"/>
                <w:b/>
                <w:i w:val="0"/>
                <w:color w:val="FFFFFF"/>
                <w:sz w:val="40"/>
              </w:rPr>
              <w:t>$42,000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C8D8D4"/>
                <w:sz w:val="14"/>
              </w:rPr>
              <w:t>BASE CASE PLATFORM REVENUE</w:t>
            </w:r>
          </w:p>
          <w:p>
            <w:pPr>
              <w:spacing w:before="0" w:after="80"/>
            </w:pPr>
            <w:r>
              <w:rPr>
                <w:rFonts w:ascii="Aptos" w:hAnsi="Aptos"/>
                <w:b/>
                <w:i w:val="0"/>
                <w:color w:val="FFFFFF"/>
                <w:sz w:val="40"/>
              </w:rPr>
              <w:t>$4,200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C8D8D4"/>
                <w:sz w:val="14"/>
              </w:rPr>
              <w:t>MONTH 3 ACTIVE FAMILIES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FFFFFF"/>
                <w:sz w:val="36"/>
              </w:rPr>
              <w:t>90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CF8"/>
            <w:tcBorders>
              <w:top w:val="single" w:sz="8" w:space="0" w:color="DDD2C5"/>
              <w:left w:val="single" w:sz="8" w:space="0" w:color="DDD2C5"/>
              <w:bottom w:val="single" w:sz="8" w:space="0" w:color="DDD2C5"/>
              <w:right w:val="single" w:sz="8" w:space="0" w:color="DDD2C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40"/>
            </w:pPr>
            <w:r>
              <w:rPr>
                <w:rFonts w:ascii="Aptos" w:hAnsi="Aptos"/>
                <w:b/>
                <w:i w:val="0"/>
                <w:color w:val="0F3D3E"/>
                <w:sz w:val="18"/>
              </w:rPr>
              <w:t>Important interpretation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223A39"/>
                <w:sz w:val="18"/>
              </w:rPr>
              <w:t>At 10 hours/month/family and a 10% platform fee, each active family produces $30/month of platform revenue. Therefore, the first 90 days should be judged primarily as traction proof: qualified requests, completed visits, repeat behavior, partner referrals, caregiver activation, and source-level attribution. The marketing budget is building the demand engine, not expected to pay back inside the first 90 days.</w:t>
            </w:r>
          </w:p>
        </w:tc>
      </w:tr>
    </w:tbl>
    <w:p>
      <w:pPr>
        <w:spacing w:before="200" w:after="60"/>
      </w:pPr>
      <w:r>
        <w:rPr>
          <w:rFonts w:ascii="Georgia" w:hAnsi="Georgia"/>
          <w:b/>
          <w:color w:val="0F3D3E"/>
          <w:sz w:val="30"/>
        </w:rPr>
        <w:t>Key Assumptions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240"/>
            <w:shd w:fill="0F3D3E"/>
            <w:tcBorders>
              <w:top w:val="single" w:sz="6" w:space="0" w:color="0F3D3E"/>
              <w:left w:val="single" w:sz="6" w:space="0" w:color="0F3D3E"/>
              <w:bottom w:val="single" w:sz="6" w:space="0" w:color="0F3D3E"/>
              <w:right w:val="single" w:sz="6" w:space="0" w:color="0F3D3E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Input</w:t>
            </w:r>
          </w:p>
        </w:tc>
        <w:tc>
          <w:tcPr>
            <w:tcW w:type="dxa" w:w="2232"/>
            <w:shd w:fill="0F3D3E"/>
            <w:tcBorders>
              <w:top w:val="single" w:sz="6" w:space="0" w:color="0F3D3E"/>
              <w:left w:val="single" w:sz="6" w:space="0" w:color="0F3D3E"/>
              <w:bottom w:val="single" w:sz="6" w:space="0" w:color="0F3D3E"/>
              <w:right w:val="single" w:sz="6" w:space="0" w:color="0F3D3E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Value</w:t>
            </w:r>
          </w:p>
        </w:tc>
        <w:tc>
          <w:tcPr>
            <w:tcW w:type="dxa" w:w="5544"/>
            <w:shd w:fill="0F3D3E"/>
            <w:tcBorders>
              <w:top w:val="single" w:sz="6" w:space="0" w:color="0F3D3E"/>
              <w:left w:val="single" w:sz="6" w:space="0" w:color="0F3D3E"/>
              <w:bottom w:val="single" w:sz="6" w:space="0" w:color="0F3D3E"/>
              <w:right w:val="single" w:sz="6" w:space="0" w:color="0F3D3E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Computation / Note</w:t>
            </w:r>
          </w:p>
        </w:tc>
      </w:tr>
      <w:tr>
        <w:tc>
          <w:tcPr>
            <w:tcW w:type="dxa" w:w="3240"/>
            <w:shd w:fill="FFFCF8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0F3D3E"/>
                <w:sz w:val="15"/>
              </w:rPr>
              <w:t>Family hourly rate</w:t>
            </w:r>
          </w:p>
        </w:tc>
        <w:tc>
          <w:tcPr>
            <w:tcW w:type="dxa" w:w="2232"/>
            <w:shd w:fill="FFFCF8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23A39"/>
                <w:sz w:val="15"/>
              </w:rPr>
              <w:t>$30/hour</w:t>
            </w:r>
          </w:p>
        </w:tc>
        <w:tc>
          <w:tcPr>
            <w:tcW w:type="dxa" w:w="5544"/>
            <w:shd w:fill="FFFCF8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23A39"/>
                <w:sz w:val="15"/>
              </w:rPr>
              <w:t>Day-rate only; night uplift excluded for simplicity.</w:t>
            </w:r>
          </w:p>
        </w:tc>
      </w:tr>
      <w:tr>
        <w:tc>
          <w:tcPr>
            <w:tcW w:type="dxa" w:w="3240"/>
            <w:shd w:fill="FFFFFF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0F3D3E"/>
                <w:sz w:val="15"/>
              </w:rPr>
              <w:t>Average family usage</w:t>
            </w:r>
          </w:p>
        </w:tc>
        <w:tc>
          <w:tcPr>
            <w:tcW w:type="dxa" w:w="2232"/>
            <w:shd w:fill="FFFFFF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23A39"/>
                <w:sz w:val="15"/>
              </w:rPr>
              <w:t>10 hours/month</w:t>
            </w:r>
          </w:p>
        </w:tc>
        <w:tc>
          <w:tcPr>
            <w:tcW w:type="dxa" w:w="5544"/>
            <w:shd w:fill="FFFFFF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23A39"/>
                <w:sz w:val="15"/>
              </w:rPr>
              <w:t>User-provided operating assumption.</w:t>
            </w:r>
          </w:p>
        </w:tc>
      </w:tr>
      <w:tr>
        <w:tc>
          <w:tcPr>
            <w:tcW w:type="dxa" w:w="3240"/>
            <w:shd w:fill="FFFCF8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0F3D3E"/>
                <w:sz w:val="15"/>
              </w:rPr>
              <w:t>Platform take rate</w:t>
            </w:r>
          </w:p>
        </w:tc>
        <w:tc>
          <w:tcPr>
            <w:tcW w:type="dxa" w:w="2232"/>
            <w:shd w:fill="FFFCF8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23A39"/>
                <w:sz w:val="15"/>
              </w:rPr>
              <w:t>10%</w:t>
            </w:r>
          </w:p>
        </w:tc>
        <w:tc>
          <w:tcPr>
            <w:tcW w:type="dxa" w:w="5544"/>
            <w:shd w:fill="FFFCF8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23A39"/>
                <w:sz w:val="15"/>
              </w:rPr>
              <w:t>$30/hour x 10% = $3/hour revenue.</w:t>
            </w:r>
          </w:p>
        </w:tc>
      </w:tr>
      <w:tr>
        <w:tc>
          <w:tcPr>
            <w:tcW w:type="dxa" w:w="3240"/>
            <w:shd w:fill="FFFFFF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0F3D3E"/>
                <w:sz w:val="15"/>
              </w:rPr>
              <w:t>Revenue per active family/month</w:t>
            </w:r>
          </w:p>
        </w:tc>
        <w:tc>
          <w:tcPr>
            <w:tcW w:type="dxa" w:w="2232"/>
            <w:shd w:fill="FFFFFF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23A39"/>
                <w:sz w:val="15"/>
              </w:rPr>
              <w:t>$30</w:t>
            </w:r>
          </w:p>
        </w:tc>
        <w:tc>
          <w:tcPr>
            <w:tcW w:type="dxa" w:w="5544"/>
            <w:shd w:fill="FFFFFF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23A39"/>
                <w:sz w:val="15"/>
              </w:rPr>
              <w:t>10 hours x $30/hour x 10%.</w:t>
            </w:r>
          </w:p>
        </w:tc>
      </w:tr>
      <w:tr>
        <w:tc>
          <w:tcPr>
            <w:tcW w:type="dxa" w:w="3240"/>
            <w:shd w:fill="FFFCF8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0F3D3E"/>
                <w:sz w:val="15"/>
              </w:rPr>
              <w:t>Payment processing</w:t>
            </w:r>
          </w:p>
        </w:tc>
        <w:tc>
          <w:tcPr>
            <w:tcW w:type="dxa" w:w="2232"/>
            <w:shd w:fill="FFFCF8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23A39"/>
                <w:sz w:val="15"/>
              </w:rPr>
              <w:t>3% pass-through</w:t>
            </w:r>
          </w:p>
        </w:tc>
        <w:tc>
          <w:tcPr>
            <w:tcW w:type="dxa" w:w="5544"/>
            <w:shd w:fill="FFFCF8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23A39"/>
                <w:sz w:val="15"/>
              </w:rPr>
              <w:t>Paid by family on top; not counted as platform revenue.</w:t>
            </w:r>
          </w:p>
        </w:tc>
      </w:tr>
      <w:tr>
        <w:tc>
          <w:tcPr>
            <w:tcW w:type="dxa" w:w="3240"/>
            <w:shd w:fill="FFFFFF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0F3D3E"/>
                <w:sz w:val="15"/>
              </w:rPr>
              <w:t>90-day marketing budget</w:t>
            </w:r>
          </w:p>
        </w:tc>
        <w:tc>
          <w:tcPr>
            <w:tcW w:type="dxa" w:w="2232"/>
            <w:shd w:fill="FFFFFF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23A39"/>
                <w:sz w:val="15"/>
              </w:rPr>
              <w:t>$68,000</w:t>
            </w:r>
          </w:p>
        </w:tc>
        <w:tc>
          <w:tcPr>
            <w:tcW w:type="dxa" w:w="5544"/>
            <w:shd w:fill="FFFFFF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23A39"/>
                <w:sz w:val="15"/>
              </w:rPr>
              <w:t>From updated marketing/branding budget including small online layer.</w:t>
            </w:r>
          </w:p>
        </w:tc>
      </w:tr>
    </w:tbl>
    <w:p>
      <w:pPr>
        <w:spacing w:before="200" w:after="60"/>
      </w:pPr>
      <w:r>
        <w:rPr>
          <w:rFonts w:ascii="Georgia" w:hAnsi="Georgia"/>
          <w:b/>
          <w:color w:val="0F3D3E"/>
          <w:sz w:val="30"/>
        </w:rPr>
        <w:t>Scenario Forecast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512"/>
            <w:shd w:fill="CC8F34"/>
            <w:tcBorders>
              <w:top w:val="single" w:sz="6" w:space="0" w:color="CC8F34"/>
              <w:left w:val="single" w:sz="6" w:space="0" w:color="CC8F34"/>
              <w:bottom w:val="single" w:sz="6" w:space="0" w:color="CC8F34"/>
              <w:right w:val="single" w:sz="6" w:space="0" w:color="CC8F34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Scenario</w:t>
            </w:r>
          </w:p>
        </w:tc>
        <w:tc>
          <w:tcPr>
            <w:tcW w:type="dxa" w:w="1944"/>
            <w:shd w:fill="CC8F34"/>
            <w:tcBorders>
              <w:top w:val="single" w:sz="6" w:space="0" w:color="CC8F34"/>
              <w:left w:val="single" w:sz="6" w:space="0" w:color="CC8F34"/>
              <w:bottom w:val="single" w:sz="6" w:space="0" w:color="CC8F34"/>
              <w:right w:val="single" w:sz="6" w:space="0" w:color="CC8F34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Active Families M1/M2/M3</w:t>
            </w:r>
          </w:p>
        </w:tc>
        <w:tc>
          <w:tcPr>
            <w:tcW w:type="dxa" w:w="1080"/>
            <w:shd w:fill="CC8F34"/>
            <w:tcBorders>
              <w:top w:val="single" w:sz="6" w:space="0" w:color="CC8F34"/>
              <w:left w:val="single" w:sz="6" w:space="0" w:color="CC8F34"/>
              <w:bottom w:val="single" w:sz="6" w:space="0" w:color="CC8F34"/>
              <w:right w:val="single" w:sz="6" w:space="0" w:color="CC8F34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Hours</w:t>
            </w:r>
          </w:p>
        </w:tc>
        <w:tc>
          <w:tcPr>
            <w:tcW w:type="dxa" w:w="1368"/>
            <w:shd w:fill="CC8F34"/>
            <w:tcBorders>
              <w:top w:val="single" w:sz="6" w:space="0" w:color="CC8F34"/>
              <w:left w:val="single" w:sz="6" w:space="0" w:color="CC8F34"/>
              <w:bottom w:val="single" w:sz="6" w:space="0" w:color="CC8F34"/>
              <w:right w:val="single" w:sz="6" w:space="0" w:color="CC8F34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Care GMV</w:t>
            </w:r>
          </w:p>
        </w:tc>
        <w:tc>
          <w:tcPr>
            <w:tcW w:type="dxa" w:w="1512"/>
            <w:shd w:fill="CC8F34"/>
            <w:tcBorders>
              <w:top w:val="single" w:sz="6" w:space="0" w:color="CC8F34"/>
              <w:left w:val="single" w:sz="6" w:space="0" w:color="CC8F34"/>
              <w:bottom w:val="single" w:sz="6" w:space="0" w:color="CC8F34"/>
              <w:right w:val="single" w:sz="6" w:space="0" w:color="CC8F34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Platform Revenue</w:t>
            </w:r>
          </w:p>
        </w:tc>
        <w:tc>
          <w:tcPr>
            <w:tcW w:type="dxa" w:w="1512"/>
            <w:shd w:fill="CC8F34"/>
            <w:tcBorders>
              <w:top w:val="single" w:sz="6" w:space="0" w:color="CC8F34"/>
              <w:left w:val="single" w:sz="6" w:space="0" w:color="CC8F34"/>
              <w:bottom w:val="single" w:sz="6" w:space="0" w:color="CC8F34"/>
              <w:right w:val="single" w:sz="6" w:space="0" w:color="CC8F34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Caregiver Payouts</w:t>
            </w:r>
          </w:p>
        </w:tc>
        <w:tc>
          <w:tcPr>
            <w:tcW w:type="dxa" w:w="1512"/>
            <w:shd w:fill="CC8F34"/>
            <w:tcBorders>
              <w:top w:val="single" w:sz="6" w:space="0" w:color="CC8F34"/>
              <w:left w:val="single" w:sz="6" w:space="0" w:color="CC8F34"/>
              <w:bottom w:val="single" w:sz="6" w:space="0" w:color="CC8F34"/>
              <w:right w:val="single" w:sz="6" w:space="0" w:color="CC8F34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Net After Marketing</w:t>
            </w:r>
          </w:p>
        </w:tc>
        <w:tc>
          <w:tcPr>
            <w:tcW w:type="dxa" w:w="1368"/>
            <w:shd w:fill="CC8F34"/>
            <w:tcBorders>
              <w:top w:val="single" w:sz="6" w:space="0" w:color="CC8F34"/>
              <w:left w:val="single" w:sz="6" w:space="0" w:color="CC8F34"/>
              <w:bottom w:val="single" w:sz="6" w:space="0" w:color="CC8F34"/>
              <w:right w:val="single" w:sz="6" w:space="0" w:color="CC8F34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Simple Payback</w:t>
            </w:r>
          </w:p>
        </w:tc>
      </w:tr>
      <w:tr>
        <w:tc>
          <w:tcPr>
            <w:tcW w:type="dxa" w:w="1512"/>
            <w:shd w:fill="FFFCF8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0F3D3E"/>
                <w:sz w:val="13"/>
              </w:rPr>
              <w:t>Conservative</w:t>
            </w:r>
          </w:p>
        </w:tc>
        <w:tc>
          <w:tcPr>
            <w:tcW w:type="dxa" w:w="1944"/>
            <w:shd w:fill="FFFCF8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23A39"/>
                <w:sz w:val="13"/>
              </w:rPr>
              <w:t>5 / 25 / 60</w:t>
            </w:r>
          </w:p>
        </w:tc>
        <w:tc>
          <w:tcPr>
            <w:tcW w:type="dxa" w:w="1080"/>
            <w:shd w:fill="FFFCF8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23A39"/>
                <w:sz w:val="13"/>
              </w:rPr>
              <w:t>900</w:t>
            </w:r>
          </w:p>
        </w:tc>
        <w:tc>
          <w:tcPr>
            <w:tcW w:type="dxa" w:w="1368"/>
            <w:shd w:fill="FFFCF8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23A39"/>
                <w:sz w:val="13"/>
              </w:rPr>
              <w:t>$27,000</w:t>
            </w:r>
          </w:p>
        </w:tc>
        <w:tc>
          <w:tcPr>
            <w:tcW w:type="dxa" w:w="1512"/>
            <w:shd w:fill="FFFCF8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23A39"/>
                <w:sz w:val="13"/>
              </w:rPr>
              <w:t>$2,700</w:t>
            </w:r>
          </w:p>
        </w:tc>
        <w:tc>
          <w:tcPr>
            <w:tcW w:type="dxa" w:w="1512"/>
            <w:shd w:fill="FFFCF8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23A39"/>
                <w:sz w:val="13"/>
              </w:rPr>
              <w:t>$24,300</w:t>
            </w:r>
          </w:p>
        </w:tc>
        <w:tc>
          <w:tcPr>
            <w:tcW w:type="dxa" w:w="1512"/>
            <w:shd w:fill="FFFCF8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23A39"/>
                <w:sz w:val="13"/>
              </w:rPr>
              <w:t>$-65,300</w:t>
            </w:r>
          </w:p>
        </w:tc>
        <w:tc>
          <w:tcPr>
            <w:tcW w:type="dxa" w:w="1368"/>
            <w:shd w:fill="FFFCF8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23A39"/>
                <w:sz w:val="13"/>
              </w:rPr>
              <w:t>37.8 mo</w:t>
            </w:r>
          </w:p>
        </w:tc>
      </w:tr>
      <w:tr>
        <w:tc>
          <w:tcPr>
            <w:tcW w:type="dxa" w:w="1512"/>
            <w:shd w:fill="FFFFFF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0F3D3E"/>
                <w:sz w:val="13"/>
              </w:rPr>
              <w:t>Base</w:t>
            </w:r>
          </w:p>
        </w:tc>
        <w:tc>
          <w:tcPr>
            <w:tcW w:type="dxa" w:w="1944"/>
            <w:shd w:fill="FFFFFF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23A39"/>
                <w:sz w:val="13"/>
              </w:rPr>
              <w:t>10 / 40 / 90</w:t>
            </w:r>
          </w:p>
        </w:tc>
        <w:tc>
          <w:tcPr>
            <w:tcW w:type="dxa" w:w="1080"/>
            <w:shd w:fill="FFFFFF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23A39"/>
                <w:sz w:val="13"/>
              </w:rPr>
              <w:t>1,400</w:t>
            </w:r>
          </w:p>
        </w:tc>
        <w:tc>
          <w:tcPr>
            <w:tcW w:type="dxa" w:w="1368"/>
            <w:shd w:fill="FFFFFF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23A39"/>
                <w:sz w:val="13"/>
              </w:rPr>
              <w:t>$42,000</w:t>
            </w:r>
          </w:p>
        </w:tc>
        <w:tc>
          <w:tcPr>
            <w:tcW w:type="dxa" w:w="1512"/>
            <w:shd w:fill="FFFFFF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23A39"/>
                <w:sz w:val="13"/>
              </w:rPr>
              <w:t>$4,200</w:t>
            </w:r>
          </w:p>
        </w:tc>
        <w:tc>
          <w:tcPr>
            <w:tcW w:type="dxa" w:w="1512"/>
            <w:shd w:fill="FFFFFF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23A39"/>
                <w:sz w:val="13"/>
              </w:rPr>
              <w:t>$37,800</w:t>
            </w:r>
          </w:p>
        </w:tc>
        <w:tc>
          <w:tcPr>
            <w:tcW w:type="dxa" w:w="1512"/>
            <w:shd w:fill="FFFFFF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23A39"/>
                <w:sz w:val="13"/>
              </w:rPr>
              <w:t>$-63,800</w:t>
            </w:r>
          </w:p>
        </w:tc>
        <w:tc>
          <w:tcPr>
            <w:tcW w:type="dxa" w:w="1368"/>
            <w:shd w:fill="FFFFFF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23A39"/>
                <w:sz w:val="13"/>
              </w:rPr>
              <w:t>25.2 mo</w:t>
            </w:r>
          </w:p>
        </w:tc>
      </w:tr>
      <w:tr>
        <w:tc>
          <w:tcPr>
            <w:tcW w:type="dxa" w:w="1512"/>
            <w:shd w:fill="FFFCF8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0F3D3E"/>
                <w:sz w:val="13"/>
              </w:rPr>
              <w:t>Aggressive</w:t>
            </w:r>
          </w:p>
        </w:tc>
        <w:tc>
          <w:tcPr>
            <w:tcW w:type="dxa" w:w="1944"/>
            <w:shd w:fill="FFFCF8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23A39"/>
                <w:sz w:val="13"/>
              </w:rPr>
              <w:t>15 / 60 / 120</w:t>
            </w:r>
          </w:p>
        </w:tc>
        <w:tc>
          <w:tcPr>
            <w:tcW w:type="dxa" w:w="1080"/>
            <w:shd w:fill="FFFCF8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23A39"/>
                <w:sz w:val="13"/>
              </w:rPr>
              <w:t>1,950</w:t>
            </w:r>
          </w:p>
        </w:tc>
        <w:tc>
          <w:tcPr>
            <w:tcW w:type="dxa" w:w="1368"/>
            <w:shd w:fill="FFFCF8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23A39"/>
                <w:sz w:val="13"/>
              </w:rPr>
              <w:t>$58,500</w:t>
            </w:r>
          </w:p>
        </w:tc>
        <w:tc>
          <w:tcPr>
            <w:tcW w:type="dxa" w:w="1512"/>
            <w:shd w:fill="FFFCF8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23A39"/>
                <w:sz w:val="13"/>
              </w:rPr>
              <w:t>$5,850</w:t>
            </w:r>
          </w:p>
        </w:tc>
        <w:tc>
          <w:tcPr>
            <w:tcW w:type="dxa" w:w="1512"/>
            <w:shd w:fill="FFFCF8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23A39"/>
                <w:sz w:val="13"/>
              </w:rPr>
              <w:t>$52,650</w:t>
            </w:r>
          </w:p>
        </w:tc>
        <w:tc>
          <w:tcPr>
            <w:tcW w:type="dxa" w:w="1512"/>
            <w:shd w:fill="FFFCF8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23A39"/>
                <w:sz w:val="13"/>
              </w:rPr>
              <w:t>$-62,150</w:t>
            </w:r>
          </w:p>
        </w:tc>
        <w:tc>
          <w:tcPr>
            <w:tcW w:type="dxa" w:w="1368"/>
            <w:shd w:fill="FFFCF8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23A39"/>
                <w:sz w:val="13"/>
              </w:rPr>
              <w:t>18.9 mo</w:t>
            </w:r>
          </w:p>
        </w:tc>
      </w:tr>
    </w:tbl>
    <w:p>
      <w:pPr>
        <w:spacing w:before="200" w:after="60"/>
      </w:pPr>
      <w:r>
        <w:rPr>
          <w:rFonts w:ascii="Georgia" w:hAnsi="Georgia"/>
          <w:b/>
          <w:color w:val="0F3D3E"/>
          <w:sz w:val="30"/>
        </w:rPr>
        <w:t>Base Case Month-by-Month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512"/>
            <w:shd w:fill="174D4E"/>
            <w:tcBorders>
              <w:top w:val="single" w:sz="6" w:space="0" w:color="174D4E"/>
              <w:left w:val="single" w:sz="6" w:space="0" w:color="174D4E"/>
              <w:bottom w:val="single" w:sz="6" w:space="0" w:color="174D4E"/>
              <w:right w:val="single" w:sz="6" w:space="0" w:color="174D4E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Month</w:t>
            </w:r>
          </w:p>
        </w:tc>
        <w:tc>
          <w:tcPr>
            <w:tcW w:type="dxa" w:w="1440"/>
            <w:shd w:fill="174D4E"/>
            <w:tcBorders>
              <w:top w:val="single" w:sz="6" w:space="0" w:color="174D4E"/>
              <w:left w:val="single" w:sz="6" w:space="0" w:color="174D4E"/>
              <w:bottom w:val="single" w:sz="6" w:space="0" w:color="174D4E"/>
              <w:right w:val="single" w:sz="6" w:space="0" w:color="174D4E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Active Families</w:t>
            </w:r>
          </w:p>
        </w:tc>
        <w:tc>
          <w:tcPr>
            <w:tcW w:type="dxa" w:w="1080"/>
            <w:shd w:fill="174D4E"/>
            <w:tcBorders>
              <w:top w:val="single" w:sz="6" w:space="0" w:color="174D4E"/>
              <w:left w:val="single" w:sz="6" w:space="0" w:color="174D4E"/>
              <w:bottom w:val="single" w:sz="6" w:space="0" w:color="174D4E"/>
              <w:right w:val="single" w:sz="6" w:space="0" w:color="174D4E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Hours</w:t>
            </w:r>
          </w:p>
        </w:tc>
        <w:tc>
          <w:tcPr>
            <w:tcW w:type="dxa" w:w="1368"/>
            <w:shd w:fill="174D4E"/>
            <w:tcBorders>
              <w:top w:val="single" w:sz="6" w:space="0" w:color="174D4E"/>
              <w:left w:val="single" w:sz="6" w:space="0" w:color="174D4E"/>
              <w:bottom w:val="single" w:sz="6" w:space="0" w:color="174D4E"/>
              <w:right w:val="single" w:sz="6" w:space="0" w:color="174D4E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Care GMV</w:t>
            </w:r>
          </w:p>
        </w:tc>
        <w:tc>
          <w:tcPr>
            <w:tcW w:type="dxa" w:w="1440"/>
            <w:shd w:fill="174D4E"/>
            <w:tcBorders>
              <w:top w:val="single" w:sz="6" w:space="0" w:color="174D4E"/>
              <w:left w:val="single" w:sz="6" w:space="0" w:color="174D4E"/>
              <w:bottom w:val="single" w:sz="6" w:space="0" w:color="174D4E"/>
              <w:right w:val="single" w:sz="6" w:space="0" w:color="174D4E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Platform Revenue</w:t>
            </w:r>
          </w:p>
        </w:tc>
        <w:tc>
          <w:tcPr>
            <w:tcW w:type="dxa" w:w="1512"/>
            <w:shd w:fill="174D4E"/>
            <w:tcBorders>
              <w:top w:val="single" w:sz="6" w:space="0" w:color="174D4E"/>
              <w:left w:val="single" w:sz="6" w:space="0" w:color="174D4E"/>
              <w:bottom w:val="single" w:sz="6" w:space="0" w:color="174D4E"/>
              <w:right w:val="single" w:sz="6" w:space="0" w:color="174D4E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Caregiver Payouts</w:t>
            </w:r>
          </w:p>
        </w:tc>
        <w:tc>
          <w:tcPr>
            <w:tcW w:type="dxa" w:w="1368"/>
            <w:shd w:fill="174D4E"/>
            <w:tcBorders>
              <w:top w:val="single" w:sz="6" w:space="0" w:color="174D4E"/>
              <w:left w:val="single" w:sz="6" w:space="0" w:color="174D4E"/>
              <w:bottom w:val="single" w:sz="6" w:space="0" w:color="174D4E"/>
              <w:right w:val="single" w:sz="6" w:space="0" w:color="174D4E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Processing Fees</w:t>
            </w:r>
          </w:p>
        </w:tc>
        <w:tc>
          <w:tcPr>
            <w:tcW w:type="dxa" w:w="1440"/>
            <w:shd w:fill="174D4E"/>
            <w:tcBorders>
              <w:top w:val="single" w:sz="6" w:space="0" w:color="174D4E"/>
              <w:left w:val="single" w:sz="6" w:space="0" w:color="174D4E"/>
              <w:bottom w:val="single" w:sz="6" w:space="0" w:color="174D4E"/>
              <w:right w:val="single" w:sz="6" w:space="0" w:color="174D4E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All-In Billings</w:t>
            </w:r>
          </w:p>
        </w:tc>
      </w:tr>
      <w:tr>
        <w:tc>
          <w:tcPr>
            <w:tcW w:type="dxa" w:w="1512"/>
            <w:shd w:fill="FFFCF8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0F3D3E"/>
                <w:sz w:val="13"/>
              </w:rPr>
              <w:t>Month 1</w:t>
            </w:r>
          </w:p>
        </w:tc>
        <w:tc>
          <w:tcPr>
            <w:tcW w:type="dxa" w:w="1440"/>
            <w:shd w:fill="FFFCF8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23A39"/>
                <w:sz w:val="13"/>
              </w:rPr>
              <w:t>10</w:t>
            </w:r>
          </w:p>
        </w:tc>
        <w:tc>
          <w:tcPr>
            <w:tcW w:type="dxa" w:w="1080"/>
            <w:shd w:fill="FFFCF8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23A39"/>
                <w:sz w:val="13"/>
              </w:rPr>
              <w:t>100</w:t>
            </w:r>
          </w:p>
        </w:tc>
        <w:tc>
          <w:tcPr>
            <w:tcW w:type="dxa" w:w="1368"/>
            <w:shd w:fill="FFFCF8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23A39"/>
                <w:sz w:val="13"/>
              </w:rPr>
              <w:t>$3,000</w:t>
            </w:r>
          </w:p>
        </w:tc>
        <w:tc>
          <w:tcPr>
            <w:tcW w:type="dxa" w:w="1440"/>
            <w:shd w:fill="FFFCF8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23A39"/>
                <w:sz w:val="13"/>
              </w:rPr>
              <w:t>$300</w:t>
            </w:r>
          </w:p>
        </w:tc>
        <w:tc>
          <w:tcPr>
            <w:tcW w:type="dxa" w:w="1512"/>
            <w:shd w:fill="FFFCF8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23A39"/>
                <w:sz w:val="13"/>
              </w:rPr>
              <w:t>$2,700</w:t>
            </w:r>
          </w:p>
        </w:tc>
        <w:tc>
          <w:tcPr>
            <w:tcW w:type="dxa" w:w="1368"/>
            <w:shd w:fill="FFFCF8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23A39"/>
                <w:sz w:val="13"/>
              </w:rPr>
              <w:t>$90</w:t>
            </w:r>
          </w:p>
        </w:tc>
        <w:tc>
          <w:tcPr>
            <w:tcW w:type="dxa" w:w="1440"/>
            <w:shd w:fill="FFFCF8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23A39"/>
                <w:sz w:val="13"/>
              </w:rPr>
              <w:t>$3,090</w:t>
            </w:r>
          </w:p>
        </w:tc>
      </w:tr>
      <w:tr>
        <w:tc>
          <w:tcPr>
            <w:tcW w:type="dxa" w:w="1512"/>
            <w:shd w:fill="FFFFFF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0F3D3E"/>
                <w:sz w:val="13"/>
              </w:rPr>
              <w:t>Month 2</w:t>
            </w:r>
          </w:p>
        </w:tc>
        <w:tc>
          <w:tcPr>
            <w:tcW w:type="dxa" w:w="1440"/>
            <w:shd w:fill="FFFFFF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23A39"/>
                <w:sz w:val="13"/>
              </w:rPr>
              <w:t>40</w:t>
            </w:r>
          </w:p>
        </w:tc>
        <w:tc>
          <w:tcPr>
            <w:tcW w:type="dxa" w:w="1080"/>
            <w:shd w:fill="FFFFFF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23A39"/>
                <w:sz w:val="13"/>
              </w:rPr>
              <w:t>400</w:t>
            </w:r>
          </w:p>
        </w:tc>
        <w:tc>
          <w:tcPr>
            <w:tcW w:type="dxa" w:w="1368"/>
            <w:shd w:fill="FFFFFF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23A39"/>
                <w:sz w:val="13"/>
              </w:rPr>
              <w:t>$12,000</w:t>
            </w:r>
          </w:p>
        </w:tc>
        <w:tc>
          <w:tcPr>
            <w:tcW w:type="dxa" w:w="1440"/>
            <w:shd w:fill="FFFFFF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23A39"/>
                <w:sz w:val="13"/>
              </w:rPr>
              <w:t>$1,200</w:t>
            </w:r>
          </w:p>
        </w:tc>
        <w:tc>
          <w:tcPr>
            <w:tcW w:type="dxa" w:w="1512"/>
            <w:shd w:fill="FFFFFF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23A39"/>
                <w:sz w:val="13"/>
              </w:rPr>
              <w:t>$10,800</w:t>
            </w:r>
          </w:p>
        </w:tc>
        <w:tc>
          <w:tcPr>
            <w:tcW w:type="dxa" w:w="1368"/>
            <w:shd w:fill="FFFFFF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23A39"/>
                <w:sz w:val="13"/>
              </w:rPr>
              <w:t>$360</w:t>
            </w:r>
          </w:p>
        </w:tc>
        <w:tc>
          <w:tcPr>
            <w:tcW w:type="dxa" w:w="1440"/>
            <w:shd w:fill="FFFFFF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23A39"/>
                <w:sz w:val="13"/>
              </w:rPr>
              <w:t>$12,360</w:t>
            </w:r>
          </w:p>
        </w:tc>
      </w:tr>
      <w:tr>
        <w:tc>
          <w:tcPr>
            <w:tcW w:type="dxa" w:w="1512"/>
            <w:shd w:fill="FFFCF8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0F3D3E"/>
                <w:sz w:val="13"/>
              </w:rPr>
              <w:t>Month 3</w:t>
            </w:r>
          </w:p>
        </w:tc>
        <w:tc>
          <w:tcPr>
            <w:tcW w:type="dxa" w:w="1440"/>
            <w:shd w:fill="FFFCF8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23A39"/>
                <w:sz w:val="13"/>
              </w:rPr>
              <w:t>90</w:t>
            </w:r>
          </w:p>
        </w:tc>
        <w:tc>
          <w:tcPr>
            <w:tcW w:type="dxa" w:w="1080"/>
            <w:shd w:fill="FFFCF8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23A39"/>
                <w:sz w:val="13"/>
              </w:rPr>
              <w:t>900</w:t>
            </w:r>
          </w:p>
        </w:tc>
        <w:tc>
          <w:tcPr>
            <w:tcW w:type="dxa" w:w="1368"/>
            <w:shd w:fill="FFFCF8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23A39"/>
                <w:sz w:val="13"/>
              </w:rPr>
              <w:t>$27,000</w:t>
            </w:r>
          </w:p>
        </w:tc>
        <w:tc>
          <w:tcPr>
            <w:tcW w:type="dxa" w:w="1440"/>
            <w:shd w:fill="FFFCF8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23A39"/>
                <w:sz w:val="13"/>
              </w:rPr>
              <w:t>$2,700</w:t>
            </w:r>
          </w:p>
        </w:tc>
        <w:tc>
          <w:tcPr>
            <w:tcW w:type="dxa" w:w="1512"/>
            <w:shd w:fill="FFFCF8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23A39"/>
                <w:sz w:val="13"/>
              </w:rPr>
              <w:t>$24,300</w:t>
            </w:r>
          </w:p>
        </w:tc>
        <w:tc>
          <w:tcPr>
            <w:tcW w:type="dxa" w:w="1368"/>
            <w:shd w:fill="FFFCF8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23A39"/>
                <w:sz w:val="13"/>
              </w:rPr>
              <w:t>$810</w:t>
            </w:r>
          </w:p>
        </w:tc>
        <w:tc>
          <w:tcPr>
            <w:tcW w:type="dxa" w:w="1440"/>
            <w:shd w:fill="FFFCF8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223A39"/>
                <w:sz w:val="13"/>
              </w:rPr>
              <w:t>$27,810</w:t>
            </w:r>
          </w:p>
        </w:tc>
      </w:tr>
      <w:tr>
        <w:tc>
          <w:tcPr>
            <w:tcW w:type="dxa" w:w="1512"/>
            <w:shd w:fill="FFFFFF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r>
              <w:rPr>
                <w:rFonts w:ascii="Aptos" w:hAnsi="Aptos"/>
              </w:rPr>
              <w:t>90-Day Total / Family-Months</w:t>
            </w:r>
          </w:p>
        </w:tc>
        <w:tc>
          <w:tcPr>
            <w:tcW w:type="dxa" w:w="1440"/>
            <w:shd w:fill="FFFFFF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r>
              <w:rPr>
                <w:rFonts w:ascii="Aptos" w:hAnsi="Aptos"/>
              </w:rPr>
              <w:t>140</w:t>
            </w:r>
          </w:p>
        </w:tc>
        <w:tc>
          <w:tcPr>
            <w:tcW w:type="dxa" w:w="1080"/>
            <w:shd w:fill="FFFFFF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223A39"/>
                <w:sz w:val="13"/>
              </w:rPr>
              <w:t>1,400</w:t>
            </w:r>
          </w:p>
        </w:tc>
        <w:tc>
          <w:tcPr>
            <w:tcW w:type="dxa" w:w="1368"/>
            <w:shd w:fill="FFFFFF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223A39"/>
                <w:sz w:val="13"/>
              </w:rPr>
              <w:t>$42,000</w:t>
            </w:r>
          </w:p>
        </w:tc>
        <w:tc>
          <w:tcPr>
            <w:tcW w:type="dxa" w:w="1440"/>
            <w:shd w:fill="FFFFFF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223A39"/>
                <w:sz w:val="13"/>
              </w:rPr>
              <w:t>$4,200</w:t>
            </w:r>
          </w:p>
        </w:tc>
        <w:tc>
          <w:tcPr>
            <w:tcW w:type="dxa" w:w="1512"/>
            <w:shd w:fill="FFFFFF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223A39"/>
                <w:sz w:val="13"/>
              </w:rPr>
              <w:t>$37,800</w:t>
            </w:r>
          </w:p>
        </w:tc>
        <w:tc>
          <w:tcPr>
            <w:tcW w:type="dxa" w:w="1368"/>
            <w:shd w:fill="FFFFFF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223A39"/>
                <w:sz w:val="13"/>
              </w:rPr>
              <w:t>$1,260</w:t>
            </w:r>
          </w:p>
        </w:tc>
        <w:tc>
          <w:tcPr>
            <w:tcW w:type="dxa" w:w="1440"/>
            <w:shd w:fill="FFFFFF"/>
            <w:tcBorders>
              <w:top w:val="single" w:sz="4" w:space="0" w:color="DDD2C5"/>
              <w:left w:val="single" w:sz="4" w:space="0" w:color="DDD2C5"/>
              <w:bottom w:val="single" w:sz="4" w:space="0" w:color="DDD2C5"/>
              <w:right w:val="single" w:sz="4" w:space="0" w:color="DDD2C5"/>
            </w:tcBorders>
            <w:tcMar>
              <w:top w:w="38" w:type="dxa"/>
              <w:start w:w="50" w:type="dxa"/>
              <w:bottom w:w="38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223A39"/>
                <w:sz w:val="13"/>
              </w:rPr>
              <w:t>$43,260</w:t>
            </w:r>
          </w:p>
        </w:tc>
      </w:tr>
    </w:tbl>
    <w:p>
      <w:pPr>
        <w:spacing w:before="200" w:after="60"/>
      </w:pPr>
      <w:r>
        <w:rPr>
          <w:rFonts w:ascii="Georgia" w:hAnsi="Georgia"/>
          <w:b/>
          <w:color w:val="0F3D3E"/>
          <w:sz w:val="30"/>
        </w:rPr>
        <w:t>Operating Takeaways</w:t>
      </w:r>
    </w:p>
    <w:p>
      <w:pPr>
        <w:pStyle w:val="ListBullet"/>
        <w:spacing w:after="40"/>
        <w:ind w:left="360" w:hanging="173"/>
      </w:pPr>
      <w:r>
        <w:rPr>
          <w:rFonts w:ascii="Aptos" w:hAnsi="Aptos"/>
          <w:color w:val="223A39"/>
          <w:sz w:val="17"/>
        </w:rPr>
        <w:t>Base case produces $42,000 of care GMV and $4,200 of platform revenue over the first 90 days.</w:t>
      </w:r>
    </w:p>
    <w:p>
      <w:pPr>
        <w:pStyle w:val="ListBullet"/>
        <w:spacing w:after="40"/>
        <w:ind w:left="360" w:hanging="173"/>
      </w:pPr>
      <w:r>
        <w:rPr>
          <w:rFonts w:ascii="Aptos" w:hAnsi="Aptos"/>
          <w:color w:val="223A39"/>
          <w:sz w:val="17"/>
        </w:rPr>
        <w:t>The economic bottleneck is not hourly rate; it is active family count and usage frequency. Every additional 100 active families in a month adds $3,000 of platform revenue at the current assumptions.</w:t>
      </w:r>
    </w:p>
    <w:p>
      <w:pPr>
        <w:pStyle w:val="ListBullet"/>
        <w:spacing w:after="40"/>
        <w:ind w:left="360" w:hanging="173"/>
      </w:pPr>
      <w:r>
        <w:rPr>
          <w:rFonts w:ascii="Aptos" w:hAnsi="Aptos"/>
          <w:color w:val="223A39"/>
          <w:sz w:val="17"/>
        </w:rPr>
        <w:t>The 90-day marketing budget should be evaluated against launch proof and CAC learning, not short-term revenue payback.</w:t>
      </w:r>
    </w:p>
    <w:p>
      <w:pPr>
        <w:pStyle w:val="ListBullet"/>
        <w:spacing w:after="40"/>
        <w:ind w:left="360" w:hanging="173"/>
      </w:pPr>
      <w:r>
        <w:rPr>
          <w:rFonts w:ascii="Aptos" w:hAnsi="Aptos"/>
          <w:color w:val="223A39"/>
          <w:sz w:val="17"/>
        </w:rPr>
        <w:t>If actual usage rises from 10 to 20 hours/month, revenue doubles without changing the take rate.</w:t>
      </w:r>
    </w:p>
    <w:p>
      <w:pPr>
        <w:pStyle w:val="ListBullet"/>
        <w:spacing w:after="40"/>
        <w:ind w:left="360" w:hanging="173"/>
      </w:pPr>
      <w:r>
        <w:rPr>
          <w:rFonts w:ascii="Aptos" w:hAnsi="Aptos"/>
          <w:color w:val="223A39"/>
          <w:sz w:val="17"/>
        </w:rPr>
        <w:t>Night hours at +25% create upside, but are excluded from this simple forecast to keep the model conservative.</w:t>
      </w:r>
    </w:p>
    <w:p>
      <w:pPr>
        <w:spacing w:before="200" w:after="60"/>
      </w:pPr>
      <w:r>
        <w:rPr>
          <w:rFonts w:ascii="Georgia" w:hAnsi="Georgia"/>
          <w:b/>
          <w:color w:val="0F3D3E"/>
          <w:sz w:val="30"/>
        </w:rPr>
        <w:t>Investor / Internal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EF3FF"/>
            <w:tcBorders>
              <w:top w:val="single" w:sz="8" w:space="0" w:color="C8D5F0"/>
              <w:left w:val="single" w:sz="8" w:space="0" w:color="C8D5F0"/>
              <w:bottom w:val="single" w:sz="8" w:space="0" w:color="C8D5F0"/>
              <w:right w:val="single" w:sz="8" w:space="0" w:color="C8D5F0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223A39"/>
                <w:sz w:val="18"/>
              </w:rPr>
              <w:t>The first 90 days are not designed to create material platform revenue yet. Under the simple assumption of 10 hours/month per family and a 10% platform fee, the base case reaches 90 active families by Month 3, generates 1,400 billed care hours, $42,000 in care GMV, and $4,200 in platform revenue. The goal of the launch budget is therefore to prove demand, response, repeat behavior, caregiver activation, and source-level CAC before scaling spend. Once the channel engine is validated, the same model becomes more attractive as active family count and hours per family grow.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7574"/>
        <w:sz w:val="13"/>
      </w:rPr>
      <w:t>Simple operating forecast - update assumptions as launch data comes in.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67574"/>
        <w:sz w:val="14"/>
      </w:rPr>
      <w:t>HomeCare HUB | 90-Day Revenue Forecast | May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23A39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