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jc w:val="center"/>
      </w:pPr>
      <w:r>
        <w:t>BÀI GIẢNG MẪU: THUẬT TOÁN &amp; CẤU TRÚC DỮ LIỆU</w:t>
      </w:r>
    </w:p>
    <w:p>
      <w:pPr>
        <w:jc w:val="center"/>
        <w:spacing w:after="240"/>
      </w:pPr>
      <w:r>
        <w:rPr>
          <w:i/>
          <w:color w:val="64748B"/>
        </w:rPr>
        <w:t>Hệ thống học trực quan DSA Visual — Dành cho Giảng viên biên soạn</w:t>
      </w:r>
    </w:p>
    <w:p>
      <w:pPr>
        <w:pStyle w:val="Heading2"/>
      </w:pPr>
      <w:r>
        <w:t>1. Mục tiêu bài học</w:t>
      </w:r>
    </w:p>
    <w:p>
      <w:r>
        <w:t>- Hiểu rõ khái niệm cốt lõi và tư tưởng giải thuật.</w:t>
      </w:r>
    </w:p>
    <w:p>
      <w:r>
        <w:t>- Nhận diện được cấu trúc dữ liệu thích hợp và các trường hợp sử dụng tối ưu.</w:t>
      </w:r>
    </w:p>
    <w:p>
      <w:r>
        <w:t>- Phân tích độ phức tạp thời gian O(N) và không gian bộ nhớ.</w:t>
      </w:r>
    </w:p>
    <w:p>
      <w:pPr>
        <w:pStyle w:val="Heading2"/>
      </w:pPr>
      <w:r>
        <w:t>2. Khái niệm và Cơ chế hoạt động</w:t>
      </w:r>
    </w:p>
    <w:p>
      <w:r>
        <w:t>Trình bày lý thuyết chi tiết tại đây. Giảng viên có thể sử dụng các tiêu đề con, danh sách gạch đầu dòng và trích dẫn để bài giảng thêm mạch lạc.</w:t>
      </w:r>
    </w:p>
    <w:p>
      <w:pPr>
        <w:pStyle w:val="Heading2"/>
      </w:pPr>
      <w:r>
        <w:t>3. Nhúng mô phỏng trực quan</w:t>
      </w:r>
    </w:p>
    <w:p>
      <w:r>
        <w:t>Để gắn hoạt ảnh mô phỏng thuật toán vào bài học, hãy chèn thẻ sau vào nội dung:</w:t>
      </w:r>
    </w:p>
    <w:p>
      <w:r>
        <w:rPr>
          <w:b/>
          <w:color w:val="7C3AED"/>
        </w:rPr>
        <w:t>[Mô phỏng: sort.bubble]</w:t>
      </w:r>
    </w:p>
    <w:p>
      <w:pPr>
        <w:pStyle w:val="Heading2"/>
      </w:pPr>
      <w:r>
        <w:t>4. Phân tích độ phức tạp</w:t>
      </w:r>
    </w:p>
    <w:p>
      <w:r>
        <w:t>- Trường hợp tốt nhất: O(N)</w:t>
      </w:r>
    </w:p>
    <w:p>
      <w:r>
        <w:t>- Trường hợp trung bình: O(N log N) hoặc O(N^2)</w:t>
      </w:r>
    </w:p>
    <w:p>
      <w:r>
        <w:t>- Trường hợp xấu nhất: O(N^2)</w:t>
      </w:r>
    </w:p>
    <w:p>
      <w:r>
        <w:t>- Không gian bộ nhớ (Space): O(1) hoặc O(N)</w:t>
      </w:r>
    </w:p>
    <w:sectPr/>
  </w:body>
</w:document>
</file>

<file path=word/styles.xml><?xml version="1.0" encoding="utf-8"?>
<w:styles xmlns:w="http://schemas.openxmlformats.org/wordprocessingml/2006/main">
  <w:style w:type="paragraph" w:default="1" w:styleId="Normal">
    <w:name w:val="Normal"/>
    <w:qFormat/>
    <w:rPr>
      <w:rFonts w:ascii="Calibri" w:hAnsi="Calibri" w:cs="Calibri"/>
      <w:sz w:val="22"/>
      <w:szCs w:val="22"/>
      <w:color w:val="222222"/>
    </w:rPr>
  </w:style>
  <w:style w:type="paragraph" w:styleId="Heading1">
    <w:name w:val="heading 1"/>
    <w:qFormat/>
    <w:pPr>
      <w:spacing w:before="240" w:after="120"/>
    </w:pPr>
    <w:rPr>
      <w:rFonts w:ascii="Calibri" w:hAnsi="Calibri" w:cs="Calibri"/>
      <w:b/>
      <w:sz w:val="32"/>
      <w:szCs w:val="32"/>
      <w:color w:val="6B21A8"/>
    </w:rPr>
  </w:style>
  <w:style w:type="paragraph" w:styleId="Heading2">
    <w:name w:val="heading 2"/>
    <w:qFormat/>
    <w:pPr>
      <w:spacing w:before="180" w:after="90"/>
    </w:pPr>
    <w:rPr>
      <w:rFonts w:ascii="Calibri" w:hAnsi="Calibri" w:cs="Calibri"/>
      <w:b/>
      <w:sz w:val="26"/>
      <w:szCs w:val="26"/>
      <w:color w:val="1E293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