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02B96E" w14:textId="23536890" w:rsidR="00177915" w:rsidRPr="007D553D" w:rsidRDefault="00BA25B9" w:rsidP="007D553D">
      <w:pPr>
        <w:pStyle w:val="Heading1"/>
      </w:pPr>
      <w:r w:rsidRPr="007D553D">
        <w:rPr>
          <w:rFonts w:ascii="Arial" w:hAnsi="Arial"/>
        </w:rPr>
        <w:t xml:space="preserve">CS 405 Project Two Script </w:t>
      </w:r>
      <w:r w:rsidR="002304E7">
        <w:rPr>
          <w:rFonts w:ascii="Arial" w:hAnsi="Arial"/>
        </w:rPr>
        <w:t>– Patrick Harrington</w:t>
      </w:r>
    </w:p>
    <w:p w14:paraId="5C9081E2" w14:textId="77777777" w:rsidR="007D553D" w:rsidRDefault="007D553D" w:rsidP="007D553D">
      <w:pPr>
        <w:suppressAutoHyphens/>
        <w:spacing w:after="0" w:line="240" w:lineRule="auto"/>
        <w:jc w:val="center"/>
        <w:rPr>
          <w:b/>
        </w:rPr>
      </w:pPr>
    </w:p>
    <w:p w14:paraId="10A93DB7" w14:textId="18349BD4" w:rsidR="0097063D" w:rsidRDefault="007D553D" w:rsidP="007D553D">
      <w:pPr>
        <w:suppressAutoHyphens/>
        <w:spacing w:after="0" w:line="240" w:lineRule="auto"/>
        <w:rPr>
          <w:rFonts w:ascii="Arial" w:hAnsi="Arial"/>
          <w:sz w:val="20"/>
        </w:rPr>
      </w:pPr>
      <w:r>
        <w:rPr>
          <w:rFonts w:ascii="Arial" w:hAnsi="Arial"/>
          <w:sz w:val="20"/>
        </w:rPr>
        <w:t xml:space="preserve">Patrick Harrington | June 17, </w:t>
      </w:r>
      <w:proofErr w:type="gramStart"/>
      <w:r>
        <w:rPr>
          <w:rFonts w:ascii="Arial" w:hAnsi="Arial"/>
          <w:sz w:val="20"/>
        </w:rPr>
        <w:t>2026</w:t>
      </w:r>
      <w:proofErr w:type="gramEnd"/>
      <w:r>
        <w:rPr>
          <w:rFonts w:ascii="Arial" w:hAnsi="Arial"/>
          <w:sz w:val="20"/>
        </w:rPr>
        <w:t xml:space="preserve"> | Project Two: </w:t>
      </w:r>
      <w:r w:rsidR="0097063D">
        <w:rPr>
          <w:rFonts w:ascii="Arial" w:hAnsi="Arial"/>
          <w:sz w:val="20"/>
        </w:rPr>
        <w:t xml:space="preserve">Green Pace </w:t>
      </w:r>
      <w:r>
        <w:rPr>
          <w:rFonts w:ascii="Arial" w:hAnsi="Arial"/>
          <w:sz w:val="20"/>
        </w:rPr>
        <w:t>Security Policy Presentation</w:t>
      </w:r>
    </w:p>
    <w:p w14:paraId="2F8EA3E4" w14:textId="77777777" w:rsidR="0097063D" w:rsidRDefault="0097063D" w:rsidP="007D553D">
      <w:pPr>
        <w:suppressAutoHyphens/>
        <w:spacing w:after="0" w:line="240" w:lineRule="auto"/>
        <w:rPr>
          <w:rFonts w:ascii="Arial" w:hAnsi="Arial"/>
          <w:sz w:val="20"/>
        </w:rPr>
      </w:pPr>
    </w:p>
    <w:p w14:paraId="2ED39B89" w14:textId="1B7B9F6E" w:rsidR="007D553D" w:rsidRPr="007D553D" w:rsidRDefault="007D553D" w:rsidP="007D553D">
      <w:pPr>
        <w:suppressAutoHyphens/>
        <w:spacing w:after="0" w:line="240" w:lineRule="auto"/>
        <w:rPr>
          <w:b/>
        </w:rPr>
      </w:pPr>
      <w:r>
        <w:rPr>
          <w:rFonts w:ascii="Arial" w:hAnsi="Arial"/>
          <w:sz w:val="20"/>
        </w:rPr>
        <w:t xml:space="preserve">YouTube video link: </w:t>
      </w:r>
      <w:r w:rsidR="003E2DAE" w:rsidRPr="003E2DAE">
        <w:rPr>
          <w:rFonts w:ascii="Arial" w:hAnsi="Arial"/>
          <w:color w:val="4472C4" w:themeColor="accent1"/>
          <w:sz w:val="20"/>
        </w:rPr>
        <w:t>https://youtu.be/j__mf0bOVxc</w:t>
      </w:r>
    </w:p>
    <w:p w14:paraId="0702A7D9"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71E7E6EC" w14:textId="77777777" w:rsidTr="007D553D">
        <w:trPr>
          <w:trHeight w:val="1373"/>
          <w:tblHeader/>
        </w:trPr>
        <w:tc>
          <w:tcPr>
            <w:tcW w:w="2115" w:type="dxa"/>
            <w:vAlign w:val="center"/>
          </w:tcPr>
          <w:p w14:paraId="0BEDD17A" w14:textId="77777777" w:rsidR="00177915" w:rsidRPr="007D553D" w:rsidRDefault="00BA25B9" w:rsidP="007D553D">
            <w:pPr>
              <w:suppressAutoHyphens/>
              <w:jc w:val="center"/>
              <w:rPr>
                <w:b/>
              </w:rPr>
            </w:pPr>
            <w:r w:rsidRPr="007D553D">
              <w:rPr>
                <w:rFonts w:ascii="Arial" w:hAnsi="Arial"/>
                <w:b/>
                <w:sz w:val="20"/>
              </w:rPr>
              <w:t>Slide Number</w:t>
            </w:r>
          </w:p>
        </w:tc>
        <w:tc>
          <w:tcPr>
            <w:tcW w:w="7455" w:type="dxa"/>
            <w:vAlign w:val="center"/>
          </w:tcPr>
          <w:p w14:paraId="3D89FE27" w14:textId="77777777" w:rsidR="00177915" w:rsidRPr="007D553D" w:rsidRDefault="00BA25B9" w:rsidP="007D553D">
            <w:pPr>
              <w:suppressAutoHyphens/>
              <w:jc w:val="center"/>
              <w:rPr>
                <w:b/>
              </w:rPr>
            </w:pPr>
            <w:r w:rsidRPr="007D553D">
              <w:rPr>
                <w:rFonts w:ascii="Arial" w:hAnsi="Arial"/>
                <w:b/>
                <w:sz w:val="20"/>
              </w:rPr>
              <w:t>Narrative</w:t>
            </w:r>
          </w:p>
        </w:tc>
      </w:tr>
      <w:tr w:rsidR="00177915" w:rsidRPr="007D553D" w14:paraId="5B253568" w14:textId="77777777" w:rsidTr="007D553D">
        <w:trPr>
          <w:trHeight w:val="1296"/>
        </w:trPr>
        <w:tc>
          <w:tcPr>
            <w:tcW w:w="2115" w:type="dxa"/>
            <w:vAlign w:val="center"/>
          </w:tcPr>
          <w:p w14:paraId="6892D3E2" w14:textId="77777777" w:rsidR="00435005" w:rsidRDefault="00000000">
            <w:pPr>
              <w:jc w:val="center"/>
            </w:pPr>
            <w:r>
              <w:rPr>
                <w:rFonts w:ascii="Arial" w:hAnsi="Arial"/>
                <w:sz w:val="20"/>
              </w:rPr>
              <w:t>1</w:t>
            </w:r>
          </w:p>
        </w:tc>
        <w:tc>
          <w:tcPr>
            <w:tcW w:w="7455" w:type="dxa"/>
          </w:tcPr>
          <w:p w14:paraId="63D7715F" w14:textId="77777777" w:rsidR="00435005" w:rsidRDefault="00000000">
            <w:r>
              <w:rPr>
                <w:rFonts w:ascii="Arial" w:hAnsi="Arial"/>
                <w:sz w:val="20"/>
              </w:rPr>
              <w:t>Hello, my name is Patrick Harrington. This presentation explains the Green Pace security policy and how it standardizes secure coding, systems architecture, testing, automation, encryption, and Triple-A controls for the development team.</w:t>
            </w:r>
          </w:p>
        </w:tc>
      </w:tr>
      <w:tr w:rsidR="00177915" w:rsidRPr="007D553D" w14:paraId="178ABD3A" w14:textId="77777777" w:rsidTr="007D553D">
        <w:trPr>
          <w:trHeight w:val="1373"/>
        </w:trPr>
        <w:tc>
          <w:tcPr>
            <w:tcW w:w="2115" w:type="dxa"/>
            <w:vAlign w:val="center"/>
          </w:tcPr>
          <w:p w14:paraId="3D7EC633" w14:textId="77777777" w:rsidR="00435005" w:rsidRDefault="00000000">
            <w:pPr>
              <w:jc w:val="center"/>
            </w:pPr>
            <w:r>
              <w:rPr>
                <w:rFonts w:ascii="Arial" w:hAnsi="Arial"/>
                <w:sz w:val="20"/>
              </w:rPr>
              <w:t>2</w:t>
            </w:r>
          </w:p>
        </w:tc>
        <w:tc>
          <w:tcPr>
            <w:tcW w:w="7455" w:type="dxa"/>
          </w:tcPr>
          <w:p w14:paraId="43867030" w14:textId="77777777" w:rsidR="00435005" w:rsidRDefault="00000000">
            <w:r>
              <w:rPr>
                <w:rFonts w:ascii="Arial" w:hAnsi="Arial"/>
                <w:sz w:val="20"/>
              </w:rPr>
              <w:t>Green Pace needed a written policy because the team had secure practices in daily use, but those practices needed to be consistent and repeatable as the organization grows. The policy supports defense in depth by combining secure coding standards, encryption, authentication, authorization, accounting, unit testing, automated tools, and monitoring. The main assumption is that inputs, dependencies, components, and environments may be vulnerable until they are validated, tested, and monitored.</w:t>
            </w:r>
          </w:p>
        </w:tc>
      </w:tr>
      <w:tr w:rsidR="00177915" w:rsidRPr="007D553D" w14:paraId="33778143" w14:textId="77777777" w:rsidTr="007D553D">
        <w:trPr>
          <w:trHeight w:val="1296"/>
        </w:trPr>
        <w:tc>
          <w:tcPr>
            <w:tcW w:w="2115" w:type="dxa"/>
            <w:vAlign w:val="center"/>
          </w:tcPr>
          <w:p w14:paraId="408A211A" w14:textId="77777777" w:rsidR="00435005" w:rsidRDefault="00000000">
            <w:pPr>
              <w:jc w:val="center"/>
            </w:pPr>
            <w:r>
              <w:rPr>
                <w:rFonts w:ascii="Arial" w:hAnsi="Arial"/>
                <w:sz w:val="20"/>
              </w:rPr>
              <w:t>3</w:t>
            </w:r>
          </w:p>
        </w:tc>
        <w:tc>
          <w:tcPr>
            <w:tcW w:w="7455" w:type="dxa"/>
          </w:tcPr>
          <w:p w14:paraId="0E24C3C8" w14:textId="77777777" w:rsidR="00435005" w:rsidRDefault="00000000">
            <w:r>
              <w:rPr>
                <w:rFonts w:ascii="Arial" w:hAnsi="Arial"/>
                <w:sz w:val="20"/>
              </w:rPr>
              <w:t>The threats matrix organizes the ten coding standards by severity and likelihood. SQL injection, string correctness, and container bounds issues are high severity and likely because they can expose data, corrupt memory, or cause unauthorized behavior. Data value, memory protection, and concurrency issues are also high priority because they can affect confidentiality, integrity, and availability. Automation helps identify these risks early through compiler warnings, SAST, SCA, unit tests, fuzzing, DAST, and monitoring.</w:t>
            </w:r>
          </w:p>
        </w:tc>
      </w:tr>
      <w:tr w:rsidR="00177915" w:rsidRPr="007D553D" w14:paraId="10878633" w14:textId="77777777" w:rsidTr="007D553D">
        <w:trPr>
          <w:trHeight w:val="1373"/>
        </w:trPr>
        <w:tc>
          <w:tcPr>
            <w:tcW w:w="2115" w:type="dxa"/>
            <w:vAlign w:val="center"/>
          </w:tcPr>
          <w:p w14:paraId="0AA6A443" w14:textId="77777777" w:rsidR="00435005" w:rsidRDefault="00000000">
            <w:pPr>
              <w:jc w:val="center"/>
            </w:pPr>
            <w:r>
              <w:rPr>
                <w:rFonts w:ascii="Arial" w:hAnsi="Arial"/>
                <w:sz w:val="20"/>
              </w:rPr>
              <w:t>4</w:t>
            </w:r>
          </w:p>
        </w:tc>
        <w:tc>
          <w:tcPr>
            <w:tcW w:w="7455" w:type="dxa"/>
          </w:tcPr>
          <w:p w14:paraId="35F8454E" w14:textId="77777777" w:rsidR="00435005" w:rsidRDefault="00000000">
            <w:r>
              <w:rPr>
                <w:rFonts w:ascii="Arial" w:hAnsi="Arial"/>
                <w:sz w:val="20"/>
              </w:rPr>
              <w:t>The ten security principles are the foundation of the policy. Each principle maps to one or more coding standards so developers can see why the rules exist. Input validation supports data type, data value, string, SQL injection, assertion, and container standards. Defense in depth and quality assurance apply across most standards because they combine prevention, testing, and monitoring. Adopting a secure coding standard keeps the whole policy consistent.</w:t>
            </w:r>
          </w:p>
        </w:tc>
      </w:tr>
      <w:tr w:rsidR="00177915" w:rsidRPr="007D553D" w14:paraId="00ADB2B5" w14:textId="77777777" w:rsidTr="007D553D">
        <w:trPr>
          <w:trHeight w:val="1296"/>
        </w:trPr>
        <w:tc>
          <w:tcPr>
            <w:tcW w:w="2115" w:type="dxa"/>
            <w:vAlign w:val="center"/>
          </w:tcPr>
          <w:p w14:paraId="3A34033B" w14:textId="77777777" w:rsidR="00435005" w:rsidRDefault="00000000">
            <w:pPr>
              <w:jc w:val="center"/>
            </w:pPr>
            <w:r>
              <w:rPr>
                <w:rFonts w:ascii="Arial" w:hAnsi="Arial"/>
                <w:sz w:val="20"/>
              </w:rPr>
              <w:t>5</w:t>
            </w:r>
          </w:p>
        </w:tc>
        <w:tc>
          <w:tcPr>
            <w:tcW w:w="7455" w:type="dxa"/>
          </w:tcPr>
          <w:p w14:paraId="786CCAD1" w14:textId="77777777" w:rsidR="00435005" w:rsidRDefault="00000000">
            <w:r>
              <w:rPr>
                <w:rFonts w:ascii="Arial" w:hAnsi="Arial"/>
                <w:sz w:val="20"/>
              </w:rPr>
              <w:t>The coding standards are ranked by priority based on likely business impact, exploitability, and remediation effort. SQL injection is ranked first because it can directly compromise a database and is usually inexpensive to prevent with parameterized queries. String correctness, memory protection, containers, and concurrency follow because they can cause crashes, data exposure, and undefined behavior. Medium-priority items, such as assertions, exceptions, and input/output, still matter because they strengthen reliability and recovery.</w:t>
            </w:r>
          </w:p>
        </w:tc>
      </w:tr>
      <w:tr w:rsidR="00177915" w:rsidRPr="007D553D" w14:paraId="52D49FE5" w14:textId="77777777" w:rsidTr="007D553D">
        <w:trPr>
          <w:trHeight w:val="1373"/>
        </w:trPr>
        <w:tc>
          <w:tcPr>
            <w:tcW w:w="2115" w:type="dxa"/>
            <w:vAlign w:val="center"/>
          </w:tcPr>
          <w:p w14:paraId="22AD8A1F" w14:textId="77777777" w:rsidR="00435005" w:rsidRDefault="00000000">
            <w:pPr>
              <w:jc w:val="center"/>
            </w:pPr>
            <w:r>
              <w:rPr>
                <w:rFonts w:ascii="Arial" w:hAnsi="Arial"/>
                <w:sz w:val="20"/>
              </w:rPr>
              <w:t>6</w:t>
            </w:r>
          </w:p>
        </w:tc>
        <w:tc>
          <w:tcPr>
            <w:tcW w:w="7455" w:type="dxa"/>
          </w:tcPr>
          <w:p w14:paraId="76987BDC" w14:textId="77777777" w:rsidR="00435005" w:rsidRDefault="00000000">
            <w:r>
              <w:rPr>
                <w:rFonts w:ascii="Arial" w:hAnsi="Arial"/>
                <w:sz w:val="20"/>
              </w:rPr>
              <w:t>The encryption strategy protects sensitive information in three states. Encryption in flight uses TLS for application traffic, APIs, administrative connections, and service communication. Encryption at rest protects databases, backups, logs, source artifacts, and storage volumes. Encryption in use limits exposure while data is being processed through least privilege, secure memory handling, restricted debugging, secrets management, and platform protections when appropriate.</w:t>
            </w:r>
          </w:p>
        </w:tc>
      </w:tr>
      <w:tr w:rsidR="00177915" w:rsidRPr="007D553D" w14:paraId="20DE0EB7" w14:textId="77777777" w:rsidTr="007D553D">
        <w:trPr>
          <w:trHeight w:val="1296"/>
        </w:trPr>
        <w:tc>
          <w:tcPr>
            <w:tcW w:w="2115" w:type="dxa"/>
            <w:vAlign w:val="center"/>
          </w:tcPr>
          <w:p w14:paraId="4206E4BD" w14:textId="77777777" w:rsidR="00435005" w:rsidRDefault="00000000">
            <w:pPr>
              <w:jc w:val="center"/>
            </w:pPr>
            <w:r>
              <w:rPr>
                <w:rFonts w:ascii="Arial" w:hAnsi="Arial"/>
                <w:sz w:val="20"/>
              </w:rPr>
              <w:lastRenderedPageBreak/>
              <w:t>7</w:t>
            </w:r>
          </w:p>
        </w:tc>
        <w:tc>
          <w:tcPr>
            <w:tcW w:w="7455" w:type="dxa"/>
          </w:tcPr>
          <w:p w14:paraId="1D820A9E" w14:textId="77777777" w:rsidR="00435005" w:rsidRDefault="00000000">
            <w:r>
              <w:rPr>
                <w:rFonts w:ascii="Arial" w:hAnsi="Arial"/>
                <w:sz w:val="20"/>
              </w:rPr>
              <w:t>The Triple-A framework supports authentication, authorization, and accounting. Authentication verifies users, administrators, services, and automated tools before access is granted. Authorization enforces role-based and least-privilege access so each identity only receives the permissions it needs. Accounting records security-relevant activity through audit logs, access changes, code review history, pipeline results, and incident evidence.</w:t>
            </w:r>
          </w:p>
        </w:tc>
      </w:tr>
      <w:tr w:rsidR="00177915" w:rsidRPr="007D553D" w14:paraId="547BCA03" w14:textId="77777777" w:rsidTr="007D553D">
        <w:trPr>
          <w:trHeight w:val="1296"/>
        </w:trPr>
        <w:tc>
          <w:tcPr>
            <w:tcW w:w="2115" w:type="dxa"/>
            <w:vAlign w:val="center"/>
          </w:tcPr>
          <w:p w14:paraId="01E7489E" w14:textId="77777777" w:rsidR="00435005" w:rsidRDefault="00000000">
            <w:pPr>
              <w:jc w:val="center"/>
            </w:pPr>
            <w:r>
              <w:rPr>
                <w:rFonts w:ascii="Arial" w:hAnsi="Arial"/>
                <w:sz w:val="20"/>
              </w:rPr>
              <w:t>8</w:t>
            </w:r>
          </w:p>
        </w:tc>
        <w:tc>
          <w:tcPr>
            <w:tcW w:w="7455" w:type="dxa"/>
          </w:tcPr>
          <w:p w14:paraId="20D9897A" w14:textId="77777777" w:rsidR="00435005" w:rsidRDefault="00000000">
            <w:r>
              <w:rPr>
                <w:rFonts w:ascii="Arial" w:hAnsi="Arial"/>
                <w:sz w:val="20"/>
              </w:rPr>
              <w:t>For unit testing, I selected STD-004-CPP, the SQL injection standard. The goal was to verify that user input is handled as data through validation and parameterized SQL instead of being concatenated into executable SQL. Because I completed the testing on macOS, I used Visual Studio Code with a C++ test harness and terminal output. The five tests cover normal input, an injection payload, blank input, special characters, and long input.</w:t>
            </w:r>
          </w:p>
        </w:tc>
      </w:tr>
      <w:tr w:rsidR="00177915" w:rsidRPr="007D553D" w14:paraId="7776E4F5" w14:textId="77777777" w:rsidTr="007D553D">
        <w:trPr>
          <w:trHeight w:val="1296"/>
        </w:trPr>
        <w:tc>
          <w:tcPr>
            <w:tcW w:w="2115" w:type="dxa"/>
            <w:vAlign w:val="center"/>
          </w:tcPr>
          <w:p w14:paraId="2C01CAE1" w14:textId="77777777" w:rsidR="00435005" w:rsidRDefault="00000000">
            <w:pPr>
              <w:jc w:val="center"/>
            </w:pPr>
            <w:r>
              <w:rPr>
                <w:rFonts w:ascii="Arial" w:hAnsi="Arial"/>
                <w:sz w:val="20"/>
              </w:rPr>
              <w:t>9</w:t>
            </w:r>
          </w:p>
        </w:tc>
        <w:tc>
          <w:tcPr>
            <w:tcW w:w="7455" w:type="dxa"/>
          </w:tcPr>
          <w:p w14:paraId="5BD0E1E5" w14:textId="77777777" w:rsidR="00435005" w:rsidRDefault="00000000">
            <w:r>
              <w:rPr>
                <w:rFonts w:ascii="Arial" w:hAnsi="Arial"/>
                <w:sz w:val="20"/>
              </w:rPr>
              <w:t>The first unit test asks whether a valid username uses a parameterized query. The input is patrick, and the expected result is that the SQL text contains a placeholder instead of the raw username. The test passed, which supports the policy because even normal input should follow the same secure query pattern.</w:t>
            </w:r>
          </w:p>
        </w:tc>
      </w:tr>
      <w:tr w:rsidR="00177915" w:rsidRPr="007D553D" w14:paraId="28280B51" w14:textId="77777777" w:rsidTr="007D553D">
        <w:trPr>
          <w:trHeight w:val="1296"/>
        </w:trPr>
        <w:tc>
          <w:tcPr>
            <w:tcW w:w="2115" w:type="dxa"/>
            <w:vAlign w:val="center"/>
          </w:tcPr>
          <w:p w14:paraId="273A71E2" w14:textId="77777777" w:rsidR="00435005" w:rsidRDefault="00000000">
            <w:pPr>
              <w:jc w:val="center"/>
            </w:pPr>
            <w:r>
              <w:rPr>
                <w:rFonts w:ascii="Arial" w:hAnsi="Arial"/>
                <w:sz w:val="20"/>
              </w:rPr>
              <w:t>10</w:t>
            </w:r>
          </w:p>
        </w:tc>
        <w:tc>
          <w:tcPr>
            <w:tcW w:w="7455" w:type="dxa"/>
          </w:tcPr>
          <w:p w14:paraId="082FADB7" w14:textId="77777777" w:rsidR="00435005" w:rsidRDefault="00000000">
            <w:r>
              <w:rPr>
                <w:rFonts w:ascii="Arial" w:hAnsi="Arial"/>
                <w:sz w:val="20"/>
              </w:rPr>
              <w:t>The second unit test checks whether an injection string is treated as data. The input is admin followed by a quote-based OR condition. The expected result is that the query structure does not change and the payload remains a literal value. The test passed, showing that the malicious input does not become executable SQL.</w:t>
            </w:r>
          </w:p>
        </w:tc>
      </w:tr>
      <w:tr w:rsidR="00177915" w:rsidRPr="007D553D" w14:paraId="2F6C4210" w14:textId="77777777" w:rsidTr="007D553D">
        <w:trPr>
          <w:trHeight w:val="1296"/>
        </w:trPr>
        <w:tc>
          <w:tcPr>
            <w:tcW w:w="2115" w:type="dxa"/>
            <w:vAlign w:val="center"/>
          </w:tcPr>
          <w:p w14:paraId="2346E0FE" w14:textId="77777777" w:rsidR="00435005" w:rsidRDefault="00000000">
            <w:pPr>
              <w:jc w:val="center"/>
            </w:pPr>
            <w:r>
              <w:rPr>
                <w:rFonts w:ascii="Arial" w:hAnsi="Arial"/>
                <w:sz w:val="20"/>
              </w:rPr>
              <w:t>11</w:t>
            </w:r>
          </w:p>
        </w:tc>
        <w:tc>
          <w:tcPr>
            <w:tcW w:w="7455" w:type="dxa"/>
          </w:tcPr>
          <w:p w14:paraId="71323D72" w14:textId="77777777" w:rsidR="00435005" w:rsidRDefault="00000000">
            <w:r>
              <w:rPr>
                <w:rFonts w:ascii="Arial" w:hAnsi="Arial"/>
                <w:sz w:val="20"/>
              </w:rPr>
              <w:t>The third unit test checks whether blank or missing input is rejected. Blank input should fail validation before the program attempts a database operation. The test passed because the function rejects the empty username. This protects the application from unsafe assumptions and prevents unnecessary database execution.</w:t>
            </w:r>
          </w:p>
        </w:tc>
      </w:tr>
      <w:tr w:rsidR="00177915" w:rsidRPr="007D553D" w14:paraId="5E6CB7E7" w14:textId="77777777" w:rsidTr="007D553D">
        <w:trPr>
          <w:trHeight w:val="1296"/>
        </w:trPr>
        <w:tc>
          <w:tcPr>
            <w:tcW w:w="2115" w:type="dxa"/>
            <w:vAlign w:val="center"/>
          </w:tcPr>
          <w:p w14:paraId="672F3F32" w14:textId="77777777" w:rsidR="00435005" w:rsidRDefault="00000000">
            <w:pPr>
              <w:jc w:val="center"/>
            </w:pPr>
            <w:r>
              <w:rPr>
                <w:rFonts w:ascii="Arial" w:hAnsi="Arial"/>
                <w:sz w:val="20"/>
              </w:rPr>
              <w:t>12</w:t>
            </w:r>
          </w:p>
        </w:tc>
        <w:tc>
          <w:tcPr>
            <w:tcW w:w="7455" w:type="dxa"/>
          </w:tcPr>
          <w:p w14:paraId="1A9843C6" w14:textId="77777777" w:rsidR="00435005" w:rsidRDefault="00000000">
            <w:r>
              <w:rPr>
                <w:rFonts w:ascii="Arial" w:hAnsi="Arial"/>
                <w:sz w:val="20"/>
              </w:rPr>
              <w:t>The fourth unit test checks whether special characters are handled safely. Names such as O'Connor may include apostrophes, and attack strings may include semicolons or SQL keywords. The test passed because the query structure stayed parameterized. Taking this further, the team should also test how these values are encoded in logs and user interfaces.</w:t>
            </w:r>
          </w:p>
        </w:tc>
      </w:tr>
      <w:tr w:rsidR="00177915" w:rsidRPr="007D553D" w14:paraId="167C4FB1" w14:textId="77777777" w:rsidTr="007D553D">
        <w:trPr>
          <w:trHeight w:val="1296"/>
        </w:trPr>
        <w:tc>
          <w:tcPr>
            <w:tcW w:w="2115" w:type="dxa"/>
            <w:vAlign w:val="center"/>
          </w:tcPr>
          <w:p w14:paraId="0BD802DF" w14:textId="77777777" w:rsidR="00435005" w:rsidRDefault="00000000">
            <w:pPr>
              <w:jc w:val="center"/>
            </w:pPr>
            <w:r>
              <w:rPr>
                <w:rFonts w:ascii="Arial" w:hAnsi="Arial"/>
                <w:sz w:val="20"/>
              </w:rPr>
              <w:t>13</w:t>
            </w:r>
          </w:p>
        </w:tc>
        <w:tc>
          <w:tcPr>
            <w:tcW w:w="7455" w:type="dxa"/>
          </w:tcPr>
          <w:p w14:paraId="78F2D257" w14:textId="77777777" w:rsidR="00435005" w:rsidRDefault="00000000">
            <w:r>
              <w:rPr>
                <w:rFonts w:ascii="Arial" w:hAnsi="Arial"/>
                <w:sz w:val="20"/>
              </w:rPr>
              <w:t>The fifth unit test checks whether unusually long input is controlled. Long input can cause storage problems, logging issues, and other unexpected behavior if it is not validated. The test passed because oversized input was rejected. Future testing should add fuzz cases for length, Unicode, and malformed byte sequences.</w:t>
            </w:r>
          </w:p>
        </w:tc>
      </w:tr>
      <w:tr w:rsidR="00177915" w:rsidRPr="007D553D" w14:paraId="7A4C5B7D" w14:textId="77777777" w:rsidTr="007D553D">
        <w:trPr>
          <w:trHeight w:val="1296"/>
        </w:trPr>
        <w:tc>
          <w:tcPr>
            <w:tcW w:w="2115" w:type="dxa"/>
            <w:vAlign w:val="center"/>
          </w:tcPr>
          <w:p w14:paraId="3A09E4FC" w14:textId="77777777" w:rsidR="00435005" w:rsidRDefault="00000000">
            <w:pPr>
              <w:jc w:val="center"/>
            </w:pPr>
            <w:r>
              <w:rPr>
                <w:rFonts w:ascii="Arial" w:hAnsi="Arial"/>
                <w:sz w:val="20"/>
              </w:rPr>
              <w:t>14</w:t>
            </w:r>
          </w:p>
        </w:tc>
        <w:tc>
          <w:tcPr>
            <w:tcW w:w="7455" w:type="dxa"/>
          </w:tcPr>
          <w:p w14:paraId="28A26D6B" w14:textId="77777777" w:rsidR="00435005" w:rsidRDefault="00000000">
            <w:r>
              <w:rPr>
                <w:rFonts w:ascii="Arial" w:hAnsi="Arial"/>
                <w:sz w:val="20"/>
              </w:rPr>
              <w:t>The automation summary shows where security tools belong in the DevSecOps flow. During Create, developers use compiler warnings, IDE plug-ins, and clang-tidy. During Verify, the pipeline runs SAST, SCA, CodeQL, and unit tests. During Pre-Production, the team uses DAST, fuzzing, and integration testing. Release and Prevent use signing and integrity checks, while Detect, Respond, Predict, and Adapt use monitoring, WAF or RASP controls, threat intelligence, and security debt tracking.</w:t>
            </w:r>
          </w:p>
        </w:tc>
      </w:tr>
      <w:tr w:rsidR="00435005" w14:paraId="6F251EF6" w14:textId="77777777">
        <w:tc>
          <w:tcPr>
            <w:tcW w:w="2115" w:type="dxa"/>
          </w:tcPr>
          <w:p w14:paraId="5E5EBE66" w14:textId="77777777" w:rsidR="00435005" w:rsidRDefault="00000000">
            <w:pPr>
              <w:jc w:val="center"/>
            </w:pPr>
            <w:r>
              <w:rPr>
                <w:rFonts w:ascii="Arial" w:hAnsi="Arial"/>
                <w:sz w:val="20"/>
              </w:rPr>
              <w:lastRenderedPageBreak/>
              <w:t>15</w:t>
            </w:r>
          </w:p>
        </w:tc>
        <w:tc>
          <w:tcPr>
            <w:tcW w:w="7455" w:type="dxa"/>
          </w:tcPr>
          <w:p w14:paraId="73BB2FC9" w14:textId="77777777" w:rsidR="00435005" w:rsidRDefault="00000000">
            <w:r>
              <w:rPr>
                <w:rFonts w:ascii="Arial" w:hAnsi="Arial"/>
                <w:sz w:val="20"/>
              </w:rPr>
              <w:t>The tools slide summarizes the automated controls by stage. The main idea is to give developers fast feedback before insecure code reaches production. Static tools, dependency checks, and unit tests catch many problems before release. Dynamic testing, fuzzing, and monitoring add additional coverage by testing running behavior and production signals.</w:t>
            </w:r>
          </w:p>
        </w:tc>
      </w:tr>
      <w:tr w:rsidR="00435005" w14:paraId="52851A8C" w14:textId="77777777">
        <w:tc>
          <w:tcPr>
            <w:tcW w:w="2115" w:type="dxa"/>
          </w:tcPr>
          <w:p w14:paraId="7E21C79D" w14:textId="77777777" w:rsidR="00435005" w:rsidRDefault="00000000">
            <w:pPr>
              <w:jc w:val="center"/>
            </w:pPr>
            <w:r>
              <w:rPr>
                <w:rFonts w:ascii="Arial" w:hAnsi="Arial"/>
                <w:sz w:val="20"/>
              </w:rPr>
              <w:t>16</w:t>
            </w:r>
          </w:p>
        </w:tc>
        <w:tc>
          <w:tcPr>
            <w:tcW w:w="7455" w:type="dxa"/>
          </w:tcPr>
          <w:p w14:paraId="70F3C2CD" w14:textId="77777777" w:rsidR="00435005" w:rsidRDefault="00000000">
            <w:r>
              <w:rPr>
                <w:rFonts w:ascii="Arial" w:hAnsi="Arial"/>
                <w:sz w:val="20"/>
              </w:rPr>
              <w:t>The risks and benefits show why action should happen now. If Green Pace waits, new developers may apply inconsistent fixes or miss high-priority vulnerabilities. Acting now prioritizes SQL injection, string safety, memory protection, bounds checking, and concurrency. The policy still needs careful management because automation can create false positives and tool fatigue, so exceptions and quality gates must be documented.</w:t>
            </w:r>
          </w:p>
        </w:tc>
      </w:tr>
      <w:tr w:rsidR="00435005" w14:paraId="2B3EE995" w14:textId="77777777">
        <w:tc>
          <w:tcPr>
            <w:tcW w:w="2115" w:type="dxa"/>
          </w:tcPr>
          <w:p w14:paraId="5758523C" w14:textId="77777777" w:rsidR="00435005" w:rsidRDefault="00000000">
            <w:pPr>
              <w:jc w:val="center"/>
            </w:pPr>
            <w:r>
              <w:rPr>
                <w:rFonts w:ascii="Arial" w:hAnsi="Arial"/>
                <w:sz w:val="20"/>
              </w:rPr>
              <w:t>17</w:t>
            </w:r>
          </w:p>
        </w:tc>
        <w:tc>
          <w:tcPr>
            <w:tcW w:w="7455" w:type="dxa"/>
          </w:tcPr>
          <w:p w14:paraId="7257BEC8" w14:textId="77777777" w:rsidR="00435005" w:rsidRDefault="00000000">
            <w:r>
              <w:rPr>
                <w:rFonts w:ascii="Arial" w:hAnsi="Arial"/>
                <w:sz w:val="20"/>
              </w:rPr>
              <w:t>The recommendations focus on closing current gaps. Green Pace should save unit-test evidence with release records, create a formal exception process, add threat modeling during planning, and enforce CI/CD quality gates. The policy should also be reviewed after incidents, architecture changes, new dependencies, and quarterly security reviews.</w:t>
            </w:r>
          </w:p>
        </w:tc>
      </w:tr>
      <w:tr w:rsidR="00435005" w14:paraId="0A758635" w14:textId="77777777">
        <w:tc>
          <w:tcPr>
            <w:tcW w:w="2115" w:type="dxa"/>
          </w:tcPr>
          <w:p w14:paraId="2793B466" w14:textId="77777777" w:rsidR="00435005" w:rsidRDefault="00000000">
            <w:pPr>
              <w:jc w:val="center"/>
            </w:pPr>
            <w:r>
              <w:rPr>
                <w:rFonts w:ascii="Arial" w:hAnsi="Arial"/>
                <w:sz w:val="20"/>
              </w:rPr>
              <w:t>18</w:t>
            </w:r>
          </w:p>
        </w:tc>
        <w:tc>
          <w:tcPr>
            <w:tcW w:w="7455" w:type="dxa"/>
          </w:tcPr>
          <w:p w14:paraId="687C7A87" w14:textId="77777777" w:rsidR="00435005" w:rsidRDefault="00000000">
            <w:r>
              <w:rPr>
                <w:rFonts w:ascii="Arial" w:hAnsi="Arial"/>
                <w:sz w:val="20"/>
              </w:rPr>
              <w:t>In conclusion, Green Pace should maintain SEI CERT C++ as the secure coding baseline and align the policy with OWASP guidance, NIST controls, and DevSecOps automation practices. The long-term focus should be prevention first: validate early, deny by default, automate checks, test negative cases, monitor production, and update the policy as new threats appear.</w:t>
            </w:r>
          </w:p>
        </w:tc>
      </w:tr>
      <w:tr w:rsidR="00435005" w14:paraId="09B9C2C6" w14:textId="77777777">
        <w:tc>
          <w:tcPr>
            <w:tcW w:w="2115" w:type="dxa"/>
          </w:tcPr>
          <w:p w14:paraId="59AA47B7" w14:textId="77777777" w:rsidR="00435005" w:rsidRDefault="00000000">
            <w:pPr>
              <w:jc w:val="center"/>
            </w:pPr>
            <w:r>
              <w:rPr>
                <w:rFonts w:ascii="Arial" w:hAnsi="Arial"/>
                <w:sz w:val="20"/>
              </w:rPr>
              <w:t>19</w:t>
            </w:r>
          </w:p>
        </w:tc>
        <w:tc>
          <w:tcPr>
            <w:tcW w:w="7455" w:type="dxa"/>
          </w:tcPr>
          <w:p w14:paraId="748E149D" w14:textId="77777777" w:rsidR="00435005" w:rsidRDefault="00000000">
            <w:r>
              <w:rPr>
                <w:rFonts w:ascii="Arial" w:hAnsi="Arial"/>
                <w:sz w:val="20"/>
              </w:rPr>
              <w:t>The references slide lists the sources used to support the policy and presentation, including the SEI CERT C++ Coding Standard, NIST SP 800-53, OWASP SQL injection and query parameterization guidance, and SonarSource DevSecOps and CI/CD resources.</w:t>
            </w:r>
          </w:p>
        </w:tc>
      </w:tr>
    </w:tbl>
    <w:p w14:paraId="3671E372"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074558" w14:textId="77777777" w:rsidR="00CC7C2E" w:rsidRDefault="00CC7C2E" w:rsidP="007D553D">
      <w:pPr>
        <w:spacing w:after="0" w:line="240" w:lineRule="auto"/>
      </w:pPr>
      <w:r>
        <w:separator/>
      </w:r>
    </w:p>
  </w:endnote>
  <w:endnote w:type="continuationSeparator" w:id="0">
    <w:p w14:paraId="6D0266DF" w14:textId="77777777" w:rsidR="00CC7C2E" w:rsidRDefault="00CC7C2E"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A29CA1" w14:textId="77777777" w:rsidR="00CC7C2E" w:rsidRDefault="00CC7C2E" w:rsidP="007D553D">
      <w:pPr>
        <w:spacing w:after="0" w:line="240" w:lineRule="auto"/>
      </w:pPr>
      <w:r>
        <w:separator/>
      </w:r>
    </w:p>
  </w:footnote>
  <w:footnote w:type="continuationSeparator" w:id="0">
    <w:p w14:paraId="22464428" w14:textId="77777777" w:rsidR="00CC7C2E" w:rsidRDefault="00CC7C2E"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A01585" w14:textId="77777777"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45723"/>
    <w:rsid w:val="001523DE"/>
    <w:rsid w:val="00177915"/>
    <w:rsid w:val="002304E7"/>
    <w:rsid w:val="002D70A7"/>
    <w:rsid w:val="0032543C"/>
    <w:rsid w:val="003463DD"/>
    <w:rsid w:val="003642BE"/>
    <w:rsid w:val="003E2DAE"/>
    <w:rsid w:val="00435005"/>
    <w:rsid w:val="00547DAC"/>
    <w:rsid w:val="006224BE"/>
    <w:rsid w:val="0064163B"/>
    <w:rsid w:val="0066297C"/>
    <w:rsid w:val="007D553D"/>
    <w:rsid w:val="008211CF"/>
    <w:rsid w:val="0097063D"/>
    <w:rsid w:val="00BA25B9"/>
    <w:rsid w:val="00CC7C2E"/>
    <w:rsid w:val="00DD27C7"/>
    <w:rsid w:val="00E73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32E9D"/>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Harrington, Patrick</cp:lastModifiedBy>
  <cp:revision>9</cp:revision>
  <dcterms:created xsi:type="dcterms:W3CDTF">2026-06-17T13:04:00Z</dcterms:created>
  <dcterms:modified xsi:type="dcterms:W3CDTF">2026-06-18T17:17:00Z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