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Сравнение объема соревнований за 2022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rPr>
                <w:b/>
              </w:rPr>
              <w:t>Тип соревнования (спортсмен)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Этап начальной подготовки </w:t>
              <w:br/>
              <w:t>(до года)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Этап начальной подготовки </w:t>
              <w:br/>
              <w:t>(свыше года)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Тренировочный этап  </w:t>
              <w:br/>
              <w:t>(до трех лет)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Тренировочный этап  </w:t>
              <w:br/>
              <w:t>(свыше трех лет)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Этап совершенствования </w:t>
              <w:br/>
              <w:t>спортивного мастерства</w:t>
            </w:r>
          </w:p>
        </w:tc>
        <w:tc>
          <w:tcPr>
            <w:tcW w:type="dxa" w:w="1530"/>
          </w:tcPr>
          <w:p>
            <w:r>
              <w:rPr>
                <w:b/>
              </w:rPr>
              <w:t xml:space="preserve">Этап высшего </w:t>
              <w:br/>
              <w:t>спортивного мастерства</w:t>
            </w:r>
          </w:p>
        </w:tc>
        <w:tc>
          <w:tcPr>
            <w:tcW w:type="dxa" w:w="1530"/>
          </w:tcPr>
          <w:p>
            <w:r>
              <w:rPr>
                <w:b/>
              </w:rPr>
              <w:t>Вывод</w:t>
            </w:r>
          </w:p>
        </w:tc>
      </w:tr>
      <w:tr>
        <w:tc>
          <w:tcPr>
            <w:tcW w:type="dxa" w:w="1530"/>
          </w:tcPr>
          <w:p>
            <w:r>
              <w:t>Контрольное (Гуркина)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 xml:space="preserve">Результат спортсмена(0) </w:t>
              <w:br/>
              <w:t>Норматив(12)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Результат спортсмена меньше норматива</w:t>
            </w:r>
          </w:p>
        </w:tc>
      </w:tr>
      <w:tr>
        <w:tc>
          <w:tcPr>
            <w:tcW w:type="dxa" w:w="1530"/>
          </w:tcPr>
          <w:p>
            <w:r>
              <w:t>Отборочное (Гуркина)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 xml:space="preserve">Результат спортсмена(0) </w:t>
              <w:br/>
              <w:t>Норматив(7)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Результат спортсмена меньше норматива</w:t>
            </w:r>
          </w:p>
        </w:tc>
      </w:tr>
      <w:tr>
        <w:tc>
          <w:tcPr>
            <w:tcW w:type="dxa" w:w="1530"/>
          </w:tcPr>
          <w:p>
            <w:r>
              <w:t>Основное (Гуркина)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 xml:space="preserve">Результат спортсмена(5) </w:t>
              <w:br/>
              <w:t>Норматив(5)</w:t>
            </w:r>
          </w:p>
        </w:tc>
        <w:tc>
          <w:tcPr>
            <w:tcW w:type="dxa" w:w="1530"/>
          </w:tcPr>
          <w:p>
            <w:r>
              <w:t>-</w:t>
            </w:r>
          </w:p>
        </w:tc>
        <w:tc>
          <w:tcPr>
            <w:tcW w:type="dxa" w:w="1530"/>
          </w:tcPr>
          <w:p>
            <w:r>
              <w:t>Результат спортсмена равен нормативу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