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Support First-Response Time Optimization and Coverage Strategy</w:t>
      </w:r>
    </w:p>
    <w:p>
      <w:r>
        <w:rPr>
          <w:b/>
          <w:color w:val="2F5496"/>
          <w:sz w:val="24"/>
        </w:rPr>
        <w:t>Proposal</w:t>
      </w:r>
    </w:p>
    <w:tbl>
      <w:tblPr>
        <w:tblStyle w:val="TableGrid"/>
        <w:tblW w:type="auto" w:w="0"/>
        <w:jc w:val="center"/>
        <w:tblLayout w:type="fixed"/>
        <w:tblLook w:firstColumn="1" w:firstRow="1" w:lastColumn="0" w:lastRow="0" w:noHBand="0" w:noVBand="1" w:val="04A0"/>
      </w:tblPr>
      <w:tblGrid>
        <w:gridCol w:w="2268"/>
        <w:gridCol w:w="7143"/>
      </w:tblGrid>
      <w:tr>
        <w:trPr>
          <w:tblHeader/>
          <w:cantSplit/>
        </w:trPr>
        <w:tc>
          <w:tcPr>
            <w:tcW w:type="dxa" w:w="2268"/>
            <w:shd w:val="clear" w:fill="1F3752"/>
          </w:tcPr>
          <w:p>
            <w:r/>
            <w:r>
              <w:rPr>
                <w:b/>
                <w:color w:val="FFFFFF"/>
                <w:sz w:val="18"/>
              </w:rPr>
              <w:t>Item</w:t>
            </w:r>
          </w:p>
        </w:tc>
        <w:tc>
          <w:tcPr>
            <w:tcW w:type="dxa" w:w="7143"/>
            <w:shd w:val="clear" w:fill="1F3752"/>
          </w:tcPr>
          <w:p>
            <w:r/>
            <w:r>
              <w:rPr>
                <w:b/>
                <w:color w:val="FFFFFF"/>
                <w:sz w:val="18"/>
              </w:rPr>
              <w:t>Detail</w:t>
            </w:r>
          </w:p>
        </w:tc>
      </w:tr>
      <w:tr>
        <w:trPr>
          <w:cantSplit/>
        </w:trPr>
        <w:tc>
          <w:tcPr>
            <w:tcW w:type="dxa" w:w="2268"/>
          </w:tcPr>
          <w:p>
            <w:pPr>
              <w:spacing w:after="40"/>
            </w:pPr>
            <w:r/>
            <w:r>
              <w:rPr>
                <w:sz w:val="18"/>
              </w:rPr>
              <w:t>Prepared</w:t>
            </w:r>
          </w:p>
        </w:tc>
        <w:tc>
          <w:tcPr>
            <w:tcW w:type="dxa" w:w="7143"/>
          </w:tcPr>
          <w:p>
            <w:pPr>
              <w:spacing w:after="40"/>
            </w:pPr>
            <w:r/>
            <w:r>
              <w:rPr>
                <w:sz w:val="18"/>
              </w:rPr>
              <w:t>23 October 2026</w:t>
            </w:r>
          </w:p>
        </w:tc>
      </w:tr>
      <w:tr>
        <w:trPr>
          <w:cantSplit/>
        </w:trPr>
        <w:tc>
          <w:tcPr>
            <w:tcW w:type="dxa" w:w="2268"/>
            <w:shd w:val="clear" w:fill="F2F5F9"/>
          </w:tcPr>
          <w:p>
            <w:pPr>
              <w:spacing w:after="40"/>
            </w:pPr>
            <w:r/>
            <w:r>
              <w:rPr>
                <w:sz w:val="18"/>
              </w:rPr>
              <w:t>Generated by</w:t>
            </w:r>
          </w:p>
        </w:tc>
        <w:tc>
          <w:tcPr>
            <w:tcW w:type="dxa" w:w="7143"/>
            <w:shd w:val="clear" w:fill="F2F5F9"/>
          </w:tcPr>
          <w:p>
            <w:pPr>
              <w:spacing w:after="40"/>
            </w:pPr>
            <w:r/>
            <w:r>
              <w:rPr>
                <w:sz w:val="18"/>
              </w:rPr>
              <w:t>Autonomous Document Agent</w:t>
            </w:r>
          </w:p>
        </w:tc>
      </w:tr>
      <w:tr>
        <w:trPr>
          <w:cantSplit/>
        </w:trPr>
        <w:tc>
          <w:tcPr>
            <w:tcW w:type="dxa" w:w="2268"/>
          </w:tcPr>
          <w:p>
            <w:pPr>
              <w:spacing w:after="40"/>
            </w:pPr>
            <w:r/>
            <w:r>
              <w:rPr>
                <w:sz w:val="18"/>
              </w:rPr>
              <w:t>Reference</w:t>
            </w:r>
          </w:p>
        </w:tc>
        <w:tc>
          <w:tcPr>
            <w:tcW w:type="dxa" w:w="7143"/>
          </w:tcPr>
          <w:p>
            <w:pPr>
              <w:spacing w:after="40"/>
            </w:pPr>
            <w:r/>
            <w:r>
              <w:rPr>
                <w:sz w:val="18"/>
              </w:rPr>
              <w:t>149b69fe</w:t>
            </w:r>
          </w:p>
        </w:tc>
      </w:tr>
    </w:tbl>
    <w:p>
      <w:pPr>
        <w:spacing w:after="40"/>
      </w:pPr>
    </w:p>
    <w:p>
      <w:pPr>
        <w:pStyle w:val="Heading1"/>
      </w:pPr>
      <w:r>
        <w:t>Purpose</w:t>
      </w:r>
    </w:p>
    <w:p>
      <w:r>
        <w:t>Propose a cost-effective strategy to reduce first-response times and achieve sustainable support coverage under strict budget constraints.</w:t>
      </w:r>
    </w:p>
    <w:p>
      <w:pPr>
        <w:pStyle w:val="Heading2"/>
      </w:pPr>
      <w:r>
        <w:t>Assumptions</w:t>
      </w:r>
    </w:p>
    <w:p>
      <w:pPr>
        <w:pStyle w:val="ListBullet"/>
        <w:spacing w:after="40"/>
      </w:pPr>
      <w:r>
        <w:t>Illustrative team size is 5 support agents handling an average of 4,000 tickets per month using a legacy ticketing system with no automation.</w:t>
      </w:r>
    </w:p>
    <w:p>
      <w:pPr>
        <w:pStyle w:val="ListBullet"/>
        <w:spacing w:after="40"/>
      </w:pPr>
      <w:r>
        <w:t>Budget 'basically nothing' is interpreted as an incremental software and services spend cap of $500 per month.</w:t>
      </w:r>
    </w:p>
    <w:p>
      <w:pPr>
        <w:pStyle w:val="ListBullet"/>
        <w:spacing w:after="40"/>
      </w:pPr>
      <w:r>
        <w:t>Leadership's desire for 24/7 coverage conflicts with a tiny budget; the chosen trade-off is to implement asynchronous self-service and smart triage for off-hours rather than hiring night-shift staff, achieving pseudo-24/7 coverage without additional headcount costs.</w:t>
      </w:r>
    </w:p>
    <w:p>
      <w:pPr>
        <w:pStyle w:val="ListBullet"/>
        <w:spacing w:after="40"/>
      </w:pPr>
      <w:r>
        <w:t>Kickoff date is unconfirmed; the schedule tool will automatically select the upcoming Monday as the project start date.</w:t>
      </w:r>
    </w:p>
    <w:p>
      <w:pPr>
        <w:pStyle w:val="Heading1"/>
      </w:pPr>
      <w:r>
        <w:t>1. Baseline Operations and Assumptions</w:t>
      </w:r>
    </w:p>
    <w:p>
      <w:r>
        <w:t>This operational baseline evaluates our current support environment to diagnose root causes for extended first-response times. Because precise historical telemetry was not provided for this proposal, specific operational volumes and capacities are established using sensible planning assumptions for an organization of our profile.</w:t>
      </w:r>
    </w:p>
    <w:p>
      <w:pPr>
        <w:keepNext/>
        <w:spacing w:after="60"/>
      </w:pPr>
      <w:r>
        <w:rPr>
          <w:b/>
          <w:color w:val="5F6973"/>
          <w:sz w:val="18"/>
        </w:rPr>
        <w:t>Baseline Operations and Data Classification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shd w:val="clear" w:fill="1F3752"/>
          </w:tcPr>
          <w:p>
            <w:r/>
            <w:r>
              <w:rPr>
                <w:b/>
                <w:color w:val="FFFFFF"/>
                <w:sz w:val="18"/>
              </w:rPr>
              <w:t>Parameter</w:t>
            </w:r>
          </w:p>
        </w:tc>
        <w:tc>
          <w:tcPr>
            <w:tcW w:type="dxa" w:w="2353"/>
            <w:shd w:val="clear" w:fill="1F3752"/>
          </w:tcPr>
          <w:p>
            <w:r/>
            <w:r>
              <w:rPr>
                <w:b/>
                <w:color w:val="FFFFFF"/>
                <w:sz w:val="18"/>
              </w:rPr>
              <w:t>Value</w:t>
            </w:r>
          </w:p>
        </w:tc>
        <w:tc>
          <w:tcPr>
            <w:tcW w:type="dxa" w:w="2353"/>
            <w:shd w:val="clear" w:fill="1F3752"/>
          </w:tcPr>
          <w:p>
            <w:r/>
            <w:r>
              <w:rPr>
                <w:b/>
                <w:color w:val="FFFFFF"/>
                <w:sz w:val="18"/>
              </w:rPr>
              <w:t>Data Classification</w:t>
            </w:r>
          </w:p>
        </w:tc>
        <w:tc>
          <w:tcPr>
            <w:tcW w:type="dxa" w:w="2353"/>
            <w:shd w:val="clear" w:fill="1F3752"/>
          </w:tcPr>
          <w:p>
            <w:r/>
            <w:r>
              <w:rPr>
                <w:b/>
                <w:color w:val="FFFFFF"/>
                <w:sz w:val="18"/>
              </w:rPr>
              <w:t>Justification and Context</w:t>
            </w:r>
          </w:p>
        </w:tc>
      </w:tr>
      <w:tr>
        <w:trPr>
          <w:cantSplit/>
        </w:trPr>
        <w:tc>
          <w:tcPr>
            <w:tcW w:type="dxa" w:w="2353"/>
          </w:tcPr>
          <w:p>
            <w:pPr>
              <w:spacing w:after="40"/>
            </w:pPr>
            <w:r/>
            <w:r>
              <w:rPr>
                <w:sz w:val="18"/>
              </w:rPr>
              <w:t>Support Team Size</w:t>
            </w:r>
          </w:p>
        </w:tc>
        <w:tc>
          <w:tcPr>
            <w:tcW w:type="dxa" w:w="2353"/>
          </w:tcPr>
          <w:p>
            <w:pPr>
              <w:spacing w:after="40"/>
            </w:pPr>
            <w:r/>
            <w:r>
              <w:rPr>
                <w:sz w:val="18"/>
              </w:rPr>
              <w:t>5 full-time agents</w:t>
            </w:r>
          </w:p>
        </w:tc>
        <w:tc>
          <w:tcPr>
            <w:tcW w:type="dxa" w:w="2353"/>
          </w:tcPr>
          <w:p>
            <w:pPr>
              <w:spacing w:after="40"/>
            </w:pPr>
            <w:r/>
            <w:r>
              <w:rPr>
                <w:sz w:val="18"/>
              </w:rPr>
              <w:t>Illustrative assumption</w:t>
            </w:r>
          </w:p>
        </w:tc>
        <w:tc>
          <w:tcPr>
            <w:tcW w:type="dxa" w:w="2353"/>
          </w:tcPr>
          <w:p>
            <w:pPr>
              <w:spacing w:after="40"/>
            </w:pPr>
            <w:r/>
            <w:r>
              <w:rPr>
                <w:sz w:val="18"/>
              </w:rPr>
              <w:t>Estimated baseline headcount for mid-stage operations; exact figures to be confirmed.</w:t>
            </w:r>
          </w:p>
        </w:tc>
      </w:tr>
      <w:tr>
        <w:trPr>
          <w:cantSplit/>
        </w:trPr>
        <w:tc>
          <w:tcPr>
            <w:tcW w:type="dxa" w:w="2353"/>
            <w:shd w:val="clear" w:fill="F2F5F9"/>
          </w:tcPr>
          <w:p>
            <w:pPr>
              <w:spacing w:after="40"/>
            </w:pPr>
            <w:r/>
            <w:r>
              <w:rPr>
                <w:sz w:val="18"/>
              </w:rPr>
              <w:t>Monthly Ticket Volume</w:t>
            </w:r>
          </w:p>
        </w:tc>
        <w:tc>
          <w:tcPr>
            <w:tcW w:type="dxa" w:w="2353"/>
            <w:shd w:val="clear" w:fill="F2F5F9"/>
          </w:tcPr>
          <w:p>
            <w:pPr>
              <w:spacing w:after="40"/>
            </w:pPr>
            <w:r/>
            <w:r>
              <w:rPr>
                <w:sz w:val="18"/>
              </w:rPr>
              <w:t>4,000 tickets / month</w:t>
            </w:r>
          </w:p>
        </w:tc>
        <w:tc>
          <w:tcPr>
            <w:tcW w:type="dxa" w:w="2353"/>
            <w:shd w:val="clear" w:fill="F2F5F9"/>
          </w:tcPr>
          <w:p>
            <w:pPr>
              <w:spacing w:after="40"/>
            </w:pPr>
            <w:r/>
            <w:r>
              <w:rPr>
                <w:sz w:val="18"/>
              </w:rPr>
              <w:t>Illustrative assumption</w:t>
            </w:r>
          </w:p>
        </w:tc>
        <w:tc>
          <w:tcPr>
            <w:tcW w:type="dxa" w:w="2353"/>
            <w:shd w:val="clear" w:fill="F2F5F9"/>
          </w:tcPr>
          <w:p>
            <w:pPr>
              <w:spacing w:after="40"/>
            </w:pPr>
            <w:r/>
            <w:r>
              <w:rPr>
                <w:sz w:val="18"/>
              </w:rPr>
              <w:t>Estimated average inbound load per agent (~800 tickets/month); exact figures to be confirmed.</w:t>
            </w:r>
          </w:p>
        </w:tc>
      </w:tr>
      <w:tr>
        <w:trPr>
          <w:cantSplit/>
        </w:trPr>
        <w:tc>
          <w:tcPr>
            <w:tcW w:type="dxa" w:w="2353"/>
          </w:tcPr>
          <w:p>
            <w:pPr>
              <w:spacing w:after="40"/>
            </w:pPr>
            <w:r/>
            <w:r>
              <w:rPr>
                <w:sz w:val="18"/>
              </w:rPr>
              <w:t>Current Tooling</w:t>
            </w:r>
          </w:p>
        </w:tc>
        <w:tc>
          <w:tcPr>
            <w:tcW w:type="dxa" w:w="2353"/>
          </w:tcPr>
          <w:p>
            <w:pPr>
              <w:spacing w:after="40"/>
            </w:pPr>
            <w:r/>
            <w:r>
              <w:rPr>
                <w:sz w:val="18"/>
              </w:rPr>
              <w:t>Legacy ticketing system (no automation)</w:t>
            </w:r>
          </w:p>
        </w:tc>
        <w:tc>
          <w:tcPr>
            <w:tcW w:type="dxa" w:w="2353"/>
          </w:tcPr>
          <w:p>
            <w:pPr>
              <w:spacing w:after="40"/>
            </w:pPr>
            <w:r/>
            <w:r>
              <w:rPr>
                <w:sz w:val="18"/>
              </w:rPr>
              <w:t>Illustrative assumption</w:t>
            </w:r>
          </w:p>
        </w:tc>
        <w:tc>
          <w:tcPr>
            <w:tcW w:type="dxa" w:w="2353"/>
          </w:tcPr>
          <w:p>
            <w:pPr>
              <w:spacing w:after="40"/>
            </w:pPr>
            <w:r/>
            <w:r>
              <w:rPr>
                <w:sz w:val="18"/>
              </w:rPr>
              <w:t>Assumes manual routing and no macro replies; exact tools to be confirmed.</w:t>
            </w:r>
          </w:p>
        </w:tc>
      </w:tr>
      <w:tr>
        <w:trPr>
          <w:cantSplit/>
        </w:trPr>
        <w:tc>
          <w:tcPr>
            <w:tcW w:type="dxa" w:w="2353"/>
            <w:shd w:val="clear" w:fill="F2F5F9"/>
          </w:tcPr>
          <w:p>
            <w:pPr>
              <w:spacing w:after="40"/>
            </w:pPr>
            <w:r/>
            <w:r>
              <w:rPr>
                <w:sz w:val="18"/>
              </w:rPr>
              <w:t>Available Budget</w:t>
            </w:r>
          </w:p>
        </w:tc>
        <w:tc>
          <w:tcPr>
            <w:tcW w:type="dxa" w:w="2353"/>
            <w:shd w:val="clear" w:fill="F2F5F9"/>
          </w:tcPr>
          <w:p>
            <w:pPr>
              <w:spacing w:after="40"/>
            </w:pPr>
            <w:r/>
            <w:r>
              <w:rPr>
                <w:sz w:val="18"/>
              </w:rPr>
              <w:t>$500 / month incremental cap</w:t>
            </w:r>
          </w:p>
        </w:tc>
        <w:tc>
          <w:tcPr>
            <w:tcW w:type="dxa" w:w="2353"/>
            <w:shd w:val="clear" w:fill="F2F5F9"/>
          </w:tcPr>
          <w:p>
            <w:pPr>
              <w:spacing w:after="40"/>
            </w:pPr>
            <w:r/>
            <w:r>
              <w:rPr>
                <w:sz w:val="18"/>
              </w:rPr>
              <w:t>Illustrative assumption</w:t>
            </w:r>
          </w:p>
        </w:tc>
        <w:tc>
          <w:tcPr>
            <w:tcW w:type="dxa" w:w="2353"/>
            <w:shd w:val="clear" w:fill="F2F5F9"/>
          </w:tcPr>
          <w:p>
            <w:pPr>
              <w:spacing w:after="40"/>
            </w:pPr>
            <w:r/>
            <w:r>
              <w:rPr>
                <w:sz w:val="18"/>
              </w:rPr>
              <w:t>Interprets the instruction of basically nothing as a strict micro-budget constraint.</w:t>
            </w:r>
          </w:p>
        </w:tc>
      </w:tr>
    </w:tbl>
    <w:p>
      <w:pPr>
        <w:spacing w:after="40"/>
      </w:pPr>
    </w:p>
    <w:p>
      <w:pPr>
        <w:pStyle w:val="ListBullet"/>
        <w:spacing w:after="40"/>
      </w:pPr>
      <w:r>
        <w:t>Verified Facts: No historical ticketing volume, tool inventories, or headcount metrics were supplied in the original request; therefore, no operational facts regarding team size or ticket volumes are currently verified.</w:t>
      </w:r>
    </w:p>
    <w:p>
      <w:pPr>
        <w:pStyle w:val="ListBullet"/>
        <w:spacing w:after="40"/>
      </w:pPr>
      <w:r>
        <w:t>Illustrative Planning Figures: All team sizes, monthly ticket counts, and existing software capabilities detailed above are illustrative projections designed solely to model the upcoming rollout and budget trade-offs.</w:t>
      </w:r>
    </w:p>
    <w:p>
      <w:pPr>
        <w:pStyle w:val="Heading1"/>
      </w:pPr>
      <w:r>
        <w:t>2. Coverage Strategy and Budget Trade-off</w:t>
      </w:r>
    </w:p>
    <w:p>
      <w:r>
        <w:t>To resolve the direct conflict between leadership's desire for 24/7 support coverage and an illustrative budget cap of $500 per month ('basically nothing'), we reject the costly option of hiring additional shifts. Instead, we implement an asynchronous triage and self-service deflection model. This approach routes after-hours tickets to automated workflows and self-service knowledge bases, providing users with immediate answers or setting clear expectations for next-business-day human follow-up without adding headcount.</w:t>
      </w:r>
    </w:p>
    <w:p>
      <w:pPr>
        <w:keepNext/>
        <w:spacing w:after="60"/>
      </w:pPr>
      <w:r>
        <w:rPr>
          <w:b/>
          <w:color w:val="5F6973"/>
          <w:sz w:val="18"/>
        </w:rPr>
        <w:t>Comparison of Coverage and Cost Approaches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2353"/>
            <w:shd w:val="clear" w:fill="1F3752"/>
          </w:tcPr>
          <w:p>
            <w:r/>
            <w:r>
              <w:rPr>
                <w:b/>
                <w:color w:val="FFFFFF"/>
                <w:sz w:val="18"/>
              </w:rPr>
              <w:t>Approach</w:t>
            </w:r>
          </w:p>
        </w:tc>
        <w:tc>
          <w:tcPr>
            <w:tcW w:type="dxa" w:w="2353"/>
            <w:shd w:val="clear" w:fill="1F3752"/>
          </w:tcPr>
          <w:p>
            <w:r/>
            <w:r>
              <w:rPr>
                <w:b/>
                <w:color w:val="FFFFFF"/>
                <w:sz w:val="18"/>
              </w:rPr>
              <w:t>Estimated Monthly Cost</w:t>
            </w:r>
          </w:p>
        </w:tc>
        <w:tc>
          <w:tcPr>
            <w:tcW w:type="dxa" w:w="2353"/>
            <w:shd w:val="clear" w:fill="1F3752"/>
          </w:tcPr>
          <w:p>
            <w:r/>
            <w:r>
              <w:rPr>
                <w:b/>
                <w:color w:val="FFFFFF"/>
                <w:sz w:val="18"/>
              </w:rPr>
              <w:t>Coverage Delivered</w:t>
            </w:r>
          </w:p>
        </w:tc>
        <w:tc>
          <w:tcPr>
            <w:tcW w:type="dxa" w:w="2353"/>
            <w:shd w:val="clear" w:fill="1F3752"/>
          </w:tcPr>
          <w:p>
            <w:r/>
            <w:r>
              <w:rPr>
                <w:b/>
                <w:color w:val="FFFFFF"/>
                <w:sz w:val="18"/>
              </w:rPr>
              <w:t>Operational Impact</w:t>
            </w:r>
          </w:p>
        </w:tc>
      </w:tr>
      <w:tr>
        <w:trPr>
          <w:cantSplit/>
        </w:trPr>
        <w:tc>
          <w:tcPr>
            <w:tcW w:type="dxa" w:w="2353"/>
          </w:tcPr>
          <w:p>
            <w:pPr>
              <w:spacing w:after="40"/>
            </w:pPr>
            <w:r/>
            <w:r>
              <w:rPr>
                <w:sz w:val="18"/>
              </w:rPr>
              <w:t>24/7 Human Shift (Outsourced/Hired)</w:t>
            </w:r>
          </w:p>
        </w:tc>
        <w:tc>
          <w:tcPr>
            <w:tcW w:type="dxa" w:w="2353"/>
          </w:tcPr>
          <w:p>
            <w:pPr>
              <w:spacing w:after="40"/>
            </w:pPr>
            <w:r/>
            <w:r>
              <w:rPr>
                <w:sz w:val="18"/>
              </w:rPr>
              <w:t>$6,000 - $12,000 (Illustrative)</w:t>
            </w:r>
          </w:p>
        </w:tc>
        <w:tc>
          <w:tcPr>
            <w:tcW w:type="dxa" w:w="2353"/>
          </w:tcPr>
          <w:p>
            <w:pPr>
              <w:spacing w:after="40"/>
            </w:pPr>
            <w:r/>
            <w:r>
              <w:rPr>
                <w:sz w:val="18"/>
              </w:rPr>
              <w:t>True 24/7 Live Agent Availability</w:t>
            </w:r>
          </w:p>
        </w:tc>
        <w:tc>
          <w:tcPr>
            <w:tcW w:type="dxa" w:w="2353"/>
          </w:tcPr>
          <w:p>
            <w:pPr>
              <w:spacing w:after="40"/>
            </w:pPr>
            <w:r/>
            <w:r>
              <w:rPr>
                <w:sz w:val="18"/>
              </w:rPr>
              <w:t>Exceeds the $500 monthly budget cap significantly.</w:t>
            </w:r>
          </w:p>
        </w:tc>
      </w:tr>
      <w:tr>
        <w:trPr>
          <w:cantSplit/>
        </w:trPr>
        <w:tc>
          <w:tcPr>
            <w:tcW w:type="dxa" w:w="2353"/>
            <w:shd w:val="clear" w:fill="F2F5F9"/>
          </w:tcPr>
          <w:p>
            <w:pPr>
              <w:spacing w:after="40"/>
            </w:pPr>
            <w:r/>
            <w:r>
              <w:rPr>
                <w:sz w:val="18"/>
              </w:rPr>
              <w:t>Asynchronous Triage and Deflection</w:t>
            </w:r>
          </w:p>
        </w:tc>
        <w:tc>
          <w:tcPr>
            <w:tcW w:type="dxa" w:w="2353"/>
            <w:shd w:val="clear" w:fill="F2F5F9"/>
          </w:tcPr>
          <w:p>
            <w:pPr>
              <w:spacing w:after="40"/>
            </w:pPr>
            <w:r/>
            <w:r>
              <w:rPr>
                <w:sz w:val="18"/>
              </w:rPr>
              <w:t>$150 - $400 (Illustrative)</w:t>
            </w:r>
          </w:p>
        </w:tc>
        <w:tc>
          <w:tcPr>
            <w:tcW w:type="dxa" w:w="2353"/>
            <w:shd w:val="clear" w:fill="F2F5F9"/>
          </w:tcPr>
          <w:p>
            <w:pPr>
              <w:spacing w:after="40"/>
            </w:pPr>
            <w:r/>
            <w:r>
              <w:rPr>
                <w:sz w:val="18"/>
              </w:rPr>
              <w:t>Pseudo-24/7 via Automated Routing and Self-Service</w:t>
            </w:r>
          </w:p>
        </w:tc>
        <w:tc>
          <w:tcPr>
            <w:tcW w:type="dxa" w:w="2353"/>
            <w:shd w:val="clear" w:fill="F2F5F9"/>
          </w:tcPr>
          <w:p>
            <w:pPr>
              <w:spacing w:after="40"/>
            </w:pPr>
            <w:r/>
            <w:r>
              <w:rPr>
                <w:sz w:val="18"/>
              </w:rPr>
              <w:t>Fits within the budget; handles off-hours demand efficiently.</w:t>
            </w:r>
          </w:p>
        </w:tc>
      </w:tr>
    </w:tbl>
    <w:p>
      <w:pPr>
        <w:spacing w:after="40"/>
      </w:pPr>
    </w:p>
    <w:p>
      <w:pPr>
        <w:pStyle w:val="ListBullet"/>
        <w:spacing w:after="40"/>
      </w:pPr>
      <w:r>
        <w:t>Verified Facts: No current team size, ticket volume, or tool pricing metrics were provided for this proposal; all figures are illustrative assumptions.</w:t>
      </w:r>
    </w:p>
    <w:p>
      <w:pPr>
        <w:pStyle w:val="ListBullet"/>
        <w:spacing w:after="40"/>
      </w:pPr>
      <w:r>
        <w:t>Trade-off Justification: Allocating the $500 illustrative budget strictly to automation tooling delivers high-impact coverage without violating financial constraints.</w:t>
      </w:r>
    </w:p>
    <w:p>
      <w:pPr>
        <w:pStyle w:val="ListBullet"/>
        <w:spacing w:after="40"/>
      </w:pPr>
      <w:r>
        <w:t>Owner: Support Operations Lead responsible for configuring the automated triage rules and monitoring deflection metrics.</w:t>
      </w:r>
    </w:p>
    <w:p>
      <w:pPr>
        <w:pStyle w:val="Heading1"/>
      </w:pPr>
      <w:r>
        <w:t>3. Approach Comparison and Costed Budget</w:t>
      </w:r>
    </w:p>
    <w:p>
      <w:r>
        <w:t>To address the support team drowning under an illustrative monthly volume of 4,000 tickets handled by 5 agents, we evaluate two distinct approaches that fit within our strict incremental budget cap of $500 per month. Leadership requested 24/7 coverage, which directly conflicts with having basically no budget for hiring night-shift staff. To resolve this, our strategic trade-off rejects round-the-clock live staffing in favor of deploying asynchronous self-service portals and automated smart triage to handle off-hours inquiries, achieving pseudo-24/7 coverage at zero additional headcount cost. Because exact records of current tools and team metrics were not provided for this proposal, the figures used are illustrative assumptions.</w:t>
      </w:r>
    </w:p>
    <w:p>
      <w:pPr>
        <w:keepNext/>
        <w:spacing w:after="60"/>
      </w:pPr>
      <w:r>
        <w:rPr>
          <w:b/>
          <w:color w:val="5F6973"/>
          <w:sz w:val="18"/>
        </w:rPr>
        <w:t>Comparison of Support Optimization Approaches (Illustrative Costs)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882"/>
            <w:shd w:val="clear" w:fill="1F3752"/>
          </w:tcPr>
          <w:p>
            <w:r/>
            <w:r>
              <w:rPr>
                <w:b/>
                <w:color w:val="FFFFFF"/>
                <w:sz w:val="18"/>
              </w:rPr>
              <w:t>Approach</w:t>
            </w:r>
          </w:p>
        </w:tc>
        <w:tc>
          <w:tcPr>
            <w:tcW w:type="dxa" w:w="1882"/>
            <w:shd w:val="clear" w:fill="1F3752"/>
          </w:tcPr>
          <w:p>
            <w:r/>
            <w:r>
              <w:rPr>
                <w:b/>
                <w:color w:val="FFFFFF"/>
                <w:sz w:val="18"/>
              </w:rPr>
              <w:t>Software Cost (USD)</w:t>
            </w:r>
          </w:p>
        </w:tc>
        <w:tc>
          <w:tcPr>
            <w:tcW w:type="dxa" w:w="1882"/>
            <w:shd w:val="clear" w:fill="1F3752"/>
          </w:tcPr>
          <w:p>
            <w:r/>
            <w:r>
              <w:rPr>
                <w:b/>
                <w:color w:val="FFFFFF"/>
                <w:sz w:val="18"/>
              </w:rPr>
              <w:t>Training Cost (USD)</w:t>
            </w:r>
          </w:p>
        </w:tc>
        <w:tc>
          <w:tcPr>
            <w:tcW w:type="dxa" w:w="1882"/>
            <w:shd w:val="clear" w:fill="1F3752"/>
          </w:tcPr>
          <w:p>
            <w:r/>
            <w:r>
              <w:rPr>
                <w:b/>
                <w:color w:val="FFFFFF"/>
                <w:sz w:val="18"/>
              </w:rPr>
              <w:t>Total Monthly Cost (USD)</w:t>
            </w:r>
          </w:p>
        </w:tc>
        <w:tc>
          <w:tcPr>
            <w:tcW w:type="dxa" w:w="1882"/>
            <w:shd w:val="clear" w:fill="1F3752"/>
          </w:tcPr>
          <w:p>
            <w:r/>
            <w:r>
              <w:rPr>
                <w:b/>
                <w:color w:val="FFFFFF"/>
                <w:sz w:val="18"/>
              </w:rPr>
              <w:t>Pros &amp; Cons</w:t>
            </w:r>
          </w:p>
        </w:tc>
      </w:tr>
      <w:tr>
        <w:trPr>
          <w:cantSplit/>
        </w:trPr>
        <w:tc>
          <w:tcPr>
            <w:tcW w:type="dxa" w:w="1882"/>
          </w:tcPr>
          <w:p>
            <w:pPr>
              <w:spacing w:after="40"/>
            </w:pPr>
            <w:r/>
            <w:r>
              <w:rPr>
                <w:sz w:val="18"/>
              </w:rPr>
              <w:t>Approach A: Open-Source + Basic Automation</w:t>
            </w:r>
          </w:p>
        </w:tc>
        <w:tc>
          <w:tcPr>
            <w:tcW w:type="dxa" w:w="1882"/>
          </w:tcPr>
          <w:p>
            <w:pPr>
              <w:spacing w:after="40"/>
            </w:pPr>
            <w:r/>
            <w:r>
              <w:rPr>
                <w:sz w:val="18"/>
              </w:rPr>
              <w:t>0.00</w:t>
            </w:r>
          </w:p>
        </w:tc>
        <w:tc>
          <w:tcPr>
            <w:tcW w:type="dxa" w:w="1882"/>
          </w:tcPr>
          <w:p>
            <w:pPr>
              <w:spacing w:after="40"/>
            </w:pPr>
            <w:r/>
            <w:r>
              <w:rPr>
                <w:sz w:val="18"/>
              </w:rPr>
              <w:t>0.00</w:t>
            </w:r>
          </w:p>
        </w:tc>
        <w:tc>
          <w:tcPr>
            <w:tcW w:type="dxa" w:w="1882"/>
          </w:tcPr>
          <w:p>
            <w:pPr>
              <w:spacing w:after="40"/>
            </w:pPr>
            <w:r/>
            <w:r>
              <w:rPr>
                <w:sz w:val="18"/>
              </w:rPr>
              <w:t>0.00</w:t>
            </w:r>
          </w:p>
        </w:tc>
        <w:tc>
          <w:tcPr>
            <w:tcW w:type="dxa" w:w="1882"/>
          </w:tcPr>
          <w:p>
            <w:pPr>
              <w:spacing w:after="40"/>
            </w:pPr>
            <w:r/>
            <w:r>
              <w:rPr>
                <w:sz w:val="18"/>
              </w:rPr>
              <w:t>Zero license cost; higher internal maintenance overhead.</w:t>
            </w:r>
          </w:p>
        </w:tc>
      </w:tr>
      <w:tr>
        <w:trPr>
          <w:cantSplit/>
        </w:trPr>
        <w:tc>
          <w:tcPr>
            <w:tcW w:type="dxa" w:w="1882"/>
            <w:shd w:val="clear" w:fill="F2F5F9"/>
          </w:tcPr>
          <w:p>
            <w:pPr>
              <w:spacing w:after="40"/>
            </w:pPr>
            <w:r/>
            <w:r>
              <w:rPr>
                <w:sz w:val="18"/>
              </w:rPr>
              <w:t>Approach B: Commercial Helpdesk Upgrade</w:t>
            </w:r>
          </w:p>
        </w:tc>
        <w:tc>
          <w:tcPr>
            <w:tcW w:type="dxa" w:w="1882"/>
            <w:shd w:val="clear" w:fill="F2F5F9"/>
          </w:tcPr>
          <w:p>
            <w:pPr>
              <w:spacing w:after="40"/>
            </w:pPr>
            <w:r/>
            <w:r>
              <w:rPr>
                <w:sz w:val="18"/>
              </w:rPr>
              <w:t>450.00</w:t>
            </w:r>
          </w:p>
        </w:tc>
        <w:tc>
          <w:tcPr>
            <w:tcW w:type="dxa" w:w="1882"/>
            <w:shd w:val="clear" w:fill="F2F5F9"/>
          </w:tcPr>
          <w:p>
            <w:pPr>
              <w:spacing w:after="40"/>
            </w:pPr>
            <w:r/>
            <w:r>
              <w:rPr>
                <w:sz w:val="18"/>
              </w:rPr>
              <w:t>50.00</w:t>
            </w:r>
          </w:p>
        </w:tc>
        <w:tc>
          <w:tcPr>
            <w:tcW w:type="dxa" w:w="1882"/>
            <w:shd w:val="clear" w:fill="F2F5F9"/>
          </w:tcPr>
          <w:p>
            <w:pPr>
              <w:spacing w:after="40"/>
            </w:pPr>
            <w:r/>
            <w:r>
              <w:rPr>
                <w:sz w:val="18"/>
              </w:rPr>
              <w:t>500.00</w:t>
            </w:r>
          </w:p>
        </w:tc>
        <w:tc>
          <w:tcPr>
            <w:tcW w:type="dxa" w:w="1882"/>
            <w:shd w:val="clear" w:fill="F2F5F9"/>
          </w:tcPr>
          <w:p>
            <w:pPr>
              <w:spacing w:after="40"/>
            </w:pPr>
            <w:r/>
            <w:r>
              <w:rPr>
                <w:sz w:val="18"/>
              </w:rPr>
              <w:t>Faster setup and vendor support; exhausts the entire $500 budget cap.</w:t>
            </w:r>
          </w:p>
        </w:tc>
      </w:tr>
    </w:tbl>
    <w:p>
      <w:pPr>
        <w:spacing w:after="40"/>
      </w:pPr>
    </w:p>
    <w:p>
      <w:r>
        <w:t>Based on the calculated cost variance of $500.00 between Approach A ($0.00 total) and Approach B ($500.00 total), we recommend Approach B if the team requires immediate vendor-backed reliability. However, to maintain a financial safety buffer under our tight constraints, Approach A provides full budgetary relief while achieving the same core response time reduction goals through internal configuration.</w:t>
      </w:r>
    </w:p>
    <w:p>
      <w:pPr>
        <w:pStyle w:val="Heading1"/>
      </w:pPr>
      <w:r>
        <w:t>4. Phased Implementation Schedule</w:t>
      </w:r>
    </w:p>
    <w:p>
      <w:r>
        <w:t>To achieve our first-response time reduction goals within the constraint of zero net new headcount, we have established an eight-week phased implementation schedule. This timeline transitions our illustrative team of five support agents from a legacy manual workflow to an automated triage and self-service model. All deployment dates are generated from the official scheduling tool, starting on 26 Oct 2026 and concluding with a full go-live on 20 Dec 2026.</w:t>
      </w:r>
    </w:p>
    <w:p>
      <w:pPr>
        <w:keepNext/>
        <w:spacing w:after="60"/>
      </w:pPr>
      <w:r>
        <w:rPr>
          <w:b/>
          <w:color w:val="5F6973"/>
          <w:sz w:val="18"/>
        </w:rPr>
        <w:t>Phased Implementation Schedule and Ownership</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882"/>
            <w:shd w:val="clear" w:fill="1F3752"/>
          </w:tcPr>
          <w:p>
            <w:r/>
            <w:r>
              <w:rPr>
                <w:b/>
                <w:color w:val="FFFFFF"/>
                <w:sz w:val="18"/>
              </w:rPr>
              <w:t>Phase Name</w:t>
            </w:r>
          </w:p>
        </w:tc>
        <w:tc>
          <w:tcPr>
            <w:tcW w:type="dxa" w:w="1882"/>
            <w:shd w:val="clear" w:fill="1F3752"/>
          </w:tcPr>
          <w:p>
            <w:r/>
            <w:r>
              <w:rPr>
                <w:b/>
                <w:color w:val="FFFFFF"/>
                <w:sz w:val="18"/>
              </w:rPr>
              <w:t>Start Date</w:t>
            </w:r>
          </w:p>
        </w:tc>
        <w:tc>
          <w:tcPr>
            <w:tcW w:type="dxa" w:w="1882"/>
            <w:shd w:val="clear" w:fill="1F3752"/>
          </w:tcPr>
          <w:p>
            <w:r/>
            <w:r>
              <w:rPr>
                <w:b/>
                <w:color w:val="FFFFFF"/>
                <w:sz w:val="18"/>
              </w:rPr>
              <w:t>End Date</w:t>
            </w:r>
          </w:p>
        </w:tc>
        <w:tc>
          <w:tcPr>
            <w:tcW w:type="dxa" w:w="1882"/>
            <w:shd w:val="clear" w:fill="1F3752"/>
          </w:tcPr>
          <w:p>
            <w:r/>
            <w:r>
              <w:rPr>
                <w:b/>
                <w:color w:val="FFFFFF"/>
                <w:sz w:val="18"/>
              </w:rPr>
              <w:t>Owner</w:t>
            </w:r>
          </w:p>
        </w:tc>
        <w:tc>
          <w:tcPr>
            <w:tcW w:type="dxa" w:w="1882"/>
            <w:shd w:val="clear" w:fill="1F3752"/>
          </w:tcPr>
          <w:p>
            <w:r/>
            <w:r>
              <w:rPr>
                <w:b/>
                <w:color w:val="FFFFFF"/>
                <w:sz w:val="18"/>
              </w:rPr>
              <w:t>Milestone Check</w:t>
            </w:r>
          </w:p>
        </w:tc>
      </w:tr>
      <w:tr>
        <w:trPr>
          <w:cantSplit/>
        </w:trPr>
        <w:tc>
          <w:tcPr>
            <w:tcW w:type="dxa" w:w="1882"/>
          </w:tcPr>
          <w:p>
            <w:pPr>
              <w:spacing w:after="40"/>
            </w:pPr>
            <w:r/>
            <w:r>
              <w:rPr>
                <w:sz w:val="18"/>
              </w:rPr>
              <w:t>Discovery and Triage Configuration</w:t>
            </w:r>
          </w:p>
        </w:tc>
        <w:tc>
          <w:tcPr>
            <w:tcW w:type="dxa" w:w="1882"/>
          </w:tcPr>
          <w:p>
            <w:pPr>
              <w:spacing w:after="40"/>
            </w:pPr>
            <w:r/>
            <w:r>
              <w:rPr>
                <w:sz w:val="18"/>
              </w:rPr>
              <w:t>26 Oct 2026</w:t>
            </w:r>
          </w:p>
        </w:tc>
        <w:tc>
          <w:tcPr>
            <w:tcW w:type="dxa" w:w="1882"/>
          </w:tcPr>
          <w:p>
            <w:pPr>
              <w:spacing w:after="40"/>
            </w:pPr>
            <w:r/>
            <w:r>
              <w:rPr>
                <w:sz w:val="18"/>
              </w:rPr>
              <w:t>08 Nov 2026</w:t>
            </w:r>
          </w:p>
        </w:tc>
        <w:tc>
          <w:tcPr>
            <w:tcW w:type="dxa" w:w="1882"/>
          </w:tcPr>
          <w:p>
            <w:pPr>
              <w:spacing w:after="40"/>
            </w:pPr>
            <w:r/>
            <w:r>
              <w:rPr>
                <w:sz w:val="18"/>
              </w:rPr>
              <w:t>Support Lead</w:t>
            </w:r>
          </w:p>
        </w:tc>
        <w:tc>
          <w:tcPr>
            <w:tcW w:type="dxa" w:w="1882"/>
          </w:tcPr>
          <w:p>
            <w:pPr>
              <w:spacing w:after="40"/>
            </w:pPr>
            <w:r/>
            <w:r>
              <w:rPr>
                <w:sz w:val="18"/>
              </w:rPr>
              <w:t>Workflow mapping and category tags finalized</w:t>
            </w:r>
          </w:p>
        </w:tc>
      </w:tr>
      <w:tr>
        <w:trPr>
          <w:cantSplit/>
        </w:trPr>
        <w:tc>
          <w:tcPr>
            <w:tcW w:type="dxa" w:w="1882"/>
            <w:shd w:val="clear" w:fill="F2F5F9"/>
          </w:tcPr>
          <w:p>
            <w:pPr>
              <w:spacing w:after="40"/>
            </w:pPr>
            <w:r/>
            <w:r>
              <w:rPr>
                <w:sz w:val="18"/>
              </w:rPr>
              <w:t>Automation Rule Deployment</w:t>
            </w:r>
          </w:p>
        </w:tc>
        <w:tc>
          <w:tcPr>
            <w:tcW w:type="dxa" w:w="1882"/>
            <w:shd w:val="clear" w:fill="F2F5F9"/>
          </w:tcPr>
          <w:p>
            <w:pPr>
              <w:spacing w:after="40"/>
            </w:pPr>
            <w:r/>
            <w:r>
              <w:rPr>
                <w:sz w:val="18"/>
              </w:rPr>
              <w:t>09 Nov 2026</w:t>
            </w:r>
          </w:p>
        </w:tc>
        <w:tc>
          <w:tcPr>
            <w:tcW w:type="dxa" w:w="1882"/>
            <w:shd w:val="clear" w:fill="F2F5F9"/>
          </w:tcPr>
          <w:p>
            <w:pPr>
              <w:spacing w:after="40"/>
            </w:pPr>
            <w:r/>
            <w:r>
              <w:rPr>
                <w:sz w:val="18"/>
              </w:rPr>
              <w:t>29 Nov 2026</w:t>
            </w:r>
          </w:p>
        </w:tc>
        <w:tc>
          <w:tcPr>
            <w:tcW w:type="dxa" w:w="1882"/>
            <w:shd w:val="clear" w:fill="F2F5F9"/>
          </w:tcPr>
          <w:p>
            <w:pPr>
              <w:spacing w:after="40"/>
            </w:pPr>
            <w:r/>
            <w:r>
              <w:rPr>
                <w:sz w:val="18"/>
              </w:rPr>
              <w:t>Operations Admin</w:t>
            </w:r>
          </w:p>
        </w:tc>
        <w:tc>
          <w:tcPr>
            <w:tcW w:type="dxa" w:w="1882"/>
            <w:shd w:val="clear" w:fill="F2F5F9"/>
          </w:tcPr>
          <w:p>
            <w:pPr>
              <w:spacing w:after="40"/>
            </w:pPr>
            <w:r/>
            <w:r>
              <w:rPr>
                <w:sz w:val="18"/>
              </w:rPr>
              <w:t>Routing rules and auto-responders active</w:t>
            </w:r>
          </w:p>
        </w:tc>
      </w:tr>
      <w:tr>
        <w:trPr>
          <w:cantSplit/>
        </w:trPr>
        <w:tc>
          <w:tcPr>
            <w:tcW w:type="dxa" w:w="1882"/>
          </w:tcPr>
          <w:p>
            <w:pPr>
              <w:spacing w:after="40"/>
            </w:pPr>
            <w:r/>
            <w:r>
              <w:rPr>
                <w:sz w:val="18"/>
              </w:rPr>
              <w:t>Team Training and Soft Launch</w:t>
            </w:r>
          </w:p>
        </w:tc>
        <w:tc>
          <w:tcPr>
            <w:tcW w:type="dxa" w:w="1882"/>
          </w:tcPr>
          <w:p>
            <w:pPr>
              <w:spacing w:after="40"/>
            </w:pPr>
            <w:r/>
            <w:r>
              <w:rPr>
                <w:sz w:val="18"/>
              </w:rPr>
              <w:t>30 Nov 2026</w:t>
            </w:r>
          </w:p>
        </w:tc>
        <w:tc>
          <w:tcPr>
            <w:tcW w:type="dxa" w:w="1882"/>
          </w:tcPr>
          <w:p>
            <w:pPr>
              <w:spacing w:after="40"/>
            </w:pPr>
            <w:r/>
            <w:r>
              <w:rPr>
                <w:sz w:val="18"/>
              </w:rPr>
              <w:t>13 Dec 2026</w:t>
            </w:r>
          </w:p>
        </w:tc>
        <w:tc>
          <w:tcPr>
            <w:tcW w:type="dxa" w:w="1882"/>
          </w:tcPr>
          <w:p>
            <w:pPr>
              <w:spacing w:after="40"/>
            </w:pPr>
            <w:r/>
            <w:r>
              <w:rPr>
                <w:sz w:val="18"/>
              </w:rPr>
              <w:t>Support Lead</w:t>
            </w:r>
          </w:p>
        </w:tc>
        <w:tc>
          <w:tcPr>
            <w:tcW w:type="dxa" w:w="1882"/>
          </w:tcPr>
          <w:p>
            <w:pPr>
              <w:spacing w:after="40"/>
            </w:pPr>
            <w:r/>
            <w:r>
              <w:rPr>
                <w:sz w:val="18"/>
              </w:rPr>
              <w:t>Staff training complete; internal pilot launched</w:t>
            </w:r>
          </w:p>
        </w:tc>
      </w:tr>
      <w:tr>
        <w:trPr>
          <w:cantSplit/>
        </w:trPr>
        <w:tc>
          <w:tcPr>
            <w:tcW w:type="dxa" w:w="1882"/>
            <w:shd w:val="clear" w:fill="F2F5F9"/>
          </w:tcPr>
          <w:p>
            <w:pPr>
              <w:spacing w:after="40"/>
            </w:pPr>
            <w:r/>
            <w:r>
              <w:rPr>
                <w:sz w:val="18"/>
              </w:rPr>
              <w:t>Full Go-Live and Review</w:t>
            </w:r>
          </w:p>
        </w:tc>
        <w:tc>
          <w:tcPr>
            <w:tcW w:type="dxa" w:w="1882"/>
            <w:shd w:val="clear" w:fill="F2F5F9"/>
          </w:tcPr>
          <w:p>
            <w:pPr>
              <w:spacing w:after="40"/>
            </w:pPr>
            <w:r/>
            <w:r>
              <w:rPr>
                <w:sz w:val="18"/>
              </w:rPr>
              <w:t>14 Dec 2026</w:t>
            </w:r>
          </w:p>
        </w:tc>
        <w:tc>
          <w:tcPr>
            <w:tcW w:type="dxa" w:w="1882"/>
            <w:shd w:val="clear" w:fill="F2F5F9"/>
          </w:tcPr>
          <w:p>
            <w:pPr>
              <w:spacing w:after="40"/>
            </w:pPr>
            <w:r/>
            <w:r>
              <w:rPr>
                <w:sz w:val="18"/>
              </w:rPr>
              <w:t>20 Dec 2026</w:t>
            </w:r>
          </w:p>
        </w:tc>
        <w:tc>
          <w:tcPr>
            <w:tcW w:type="dxa" w:w="1882"/>
            <w:shd w:val="clear" w:fill="F2F5F9"/>
          </w:tcPr>
          <w:p>
            <w:pPr>
              <w:spacing w:after="40"/>
            </w:pPr>
            <w:r/>
            <w:r>
              <w:rPr>
                <w:sz w:val="18"/>
              </w:rPr>
              <w:t>Support Lead</w:t>
            </w:r>
          </w:p>
        </w:tc>
        <w:tc>
          <w:tcPr>
            <w:tcW w:type="dxa" w:w="1882"/>
            <w:shd w:val="clear" w:fill="F2F5F9"/>
          </w:tcPr>
          <w:p>
            <w:pPr>
              <w:spacing w:after="40"/>
            </w:pPr>
            <w:r/>
            <w:r>
              <w:rPr>
                <w:sz w:val="18"/>
              </w:rPr>
              <w:t>Public launch and first metric review meeting</w:t>
            </w:r>
          </w:p>
        </w:tc>
      </w:tr>
    </w:tbl>
    <w:p>
      <w:pPr>
        <w:spacing w:after="40"/>
      </w:pPr>
    </w:p>
    <w:p>
      <w:pPr>
        <w:pStyle w:val="ListNumber"/>
        <w:spacing w:after="40"/>
      </w:pPr>
      <w:r>
        <w:t>Phase 1 runs from 26 Oct 2026 to 08 Nov 2026 under the Support Lead, focusing on auditing current ticket categories and defining automated routing logic.</w:t>
      </w:r>
    </w:p>
    <w:p>
      <w:pPr>
        <w:pStyle w:val="ListNumber"/>
        <w:spacing w:after="40"/>
      </w:pPr>
      <w:r>
        <w:t>Phase 2 runs from 09 Nov 2026 to 29 Nov 2026 managed by the Operations Admin, deploying macro responses, after-hours auto-acknowledgments, and self-service deflection.</w:t>
      </w:r>
    </w:p>
    <w:p>
      <w:pPr>
        <w:pStyle w:val="ListNumber"/>
        <w:spacing w:after="40"/>
      </w:pPr>
      <w:r>
        <w:t>Phase 3 runs from 30 Nov 2026 to 13 Dec 2026 with the Support Lead conducting agent training sessions and running a soft launch to catch edge cases.</w:t>
      </w:r>
    </w:p>
    <w:p>
      <w:pPr>
        <w:pStyle w:val="ListNumber"/>
        <w:spacing w:after="40"/>
      </w:pPr>
      <w:r>
        <w:t>Phase 4 runs from 14 Dec 2026 to 20 Dec 2026, executing the public go-live and validating response time metrics against baseline targets.</w:t>
      </w:r>
    </w:p>
    <w:p>
      <w:pPr>
        <w:pStyle w:val="Heading1"/>
      </w:pPr>
      <w:r>
        <w:t>5. Risk Management and Scoring</w:t>
      </w:r>
    </w:p>
    <w:p>
      <w:r>
        <w:t>Managing implementation risks is critical given our zero-budget constraint and the operational shift required for our illustrative team of 5 support agents handling 4,000 monthly tickets. We evaluated risks using a standardized framework where the risk score equals likelihood multiplied by impact on a 1 to 25 scale, categorizing scores as Low at 4 or below, Medium up to 9, High up to 16, and Critical above 16. The resulting assessment dictates our mitigation ownership, specific operational checks, and review cadences.</w:t>
      </w:r>
    </w:p>
    <w:p>
      <w:pPr>
        <w:keepNext/>
        <w:spacing w:after="60"/>
      </w:pPr>
      <w:r>
        <w:rPr>
          <w:b/>
          <w:color w:val="5F6973"/>
          <w:sz w:val="18"/>
        </w:rPr>
        <w:t>Project Risk Matrix and Mitigation Plan</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cantSplit/>
        </w:trPr>
        <w:tc>
          <w:tcPr>
            <w:tcW w:type="dxa" w:w="1569"/>
            <w:shd w:val="clear" w:fill="1F3752"/>
          </w:tcPr>
          <w:p>
            <w:r/>
            <w:r>
              <w:rPr>
                <w:b/>
                <w:color w:val="FFFFFF"/>
                <w:sz w:val="18"/>
              </w:rPr>
              <w:t>Risk Description</w:t>
            </w:r>
          </w:p>
        </w:tc>
        <w:tc>
          <w:tcPr>
            <w:tcW w:type="dxa" w:w="1569"/>
            <w:shd w:val="clear" w:fill="1F3752"/>
          </w:tcPr>
          <w:p>
            <w:r/>
            <w:r>
              <w:rPr>
                <w:b/>
                <w:color w:val="FFFFFF"/>
                <w:sz w:val="18"/>
              </w:rPr>
              <w:t>Score</w:t>
            </w:r>
          </w:p>
        </w:tc>
        <w:tc>
          <w:tcPr>
            <w:tcW w:type="dxa" w:w="1569"/>
            <w:shd w:val="clear" w:fill="1F3752"/>
          </w:tcPr>
          <w:p>
            <w:r/>
            <w:r>
              <w:rPr>
                <w:b/>
                <w:color w:val="FFFFFF"/>
                <w:sz w:val="18"/>
              </w:rPr>
              <w:t>Rating</w:t>
            </w:r>
          </w:p>
        </w:tc>
        <w:tc>
          <w:tcPr>
            <w:tcW w:type="dxa" w:w="1569"/>
            <w:shd w:val="clear" w:fill="1F3752"/>
          </w:tcPr>
          <w:p>
            <w:r/>
            <w:r>
              <w:rPr>
                <w:b/>
                <w:color w:val="FFFFFF"/>
                <w:sz w:val="18"/>
              </w:rPr>
              <w:t>Owner</w:t>
            </w:r>
          </w:p>
        </w:tc>
        <w:tc>
          <w:tcPr>
            <w:tcW w:type="dxa" w:w="1569"/>
            <w:shd w:val="clear" w:fill="1F3752"/>
          </w:tcPr>
          <w:p>
            <w:r/>
            <w:r>
              <w:rPr>
                <w:b/>
                <w:color w:val="FFFFFF"/>
                <w:sz w:val="18"/>
              </w:rPr>
              <w:t>Mitigation Workflow and Check</w:t>
            </w:r>
          </w:p>
        </w:tc>
        <w:tc>
          <w:tcPr>
            <w:tcW w:type="dxa" w:w="1569"/>
            <w:shd w:val="clear" w:fill="1F3752"/>
          </w:tcPr>
          <w:p>
            <w:r/>
            <w:r>
              <w:rPr>
                <w:b/>
                <w:color w:val="FFFFFF"/>
                <w:sz w:val="18"/>
              </w:rPr>
              <w:t>Monitoring Cadence</w:t>
            </w:r>
          </w:p>
        </w:tc>
      </w:tr>
      <w:tr>
        <w:trPr>
          <w:cantSplit/>
        </w:trPr>
        <w:tc>
          <w:tcPr>
            <w:tcW w:type="dxa" w:w="1569"/>
          </w:tcPr>
          <w:p>
            <w:pPr>
              <w:spacing w:after="40"/>
            </w:pPr>
            <w:r/>
            <w:r>
              <w:rPr>
                <w:sz w:val="18"/>
              </w:rPr>
              <w:t>Agent resistance to new workflow tools</w:t>
            </w:r>
          </w:p>
        </w:tc>
        <w:tc>
          <w:tcPr>
            <w:tcW w:type="dxa" w:w="1569"/>
          </w:tcPr>
          <w:p>
            <w:pPr>
              <w:spacing w:after="40"/>
            </w:pPr>
            <w:r/>
            <w:r>
              <w:rPr>
                <w:sz w:val="18"/>
              </w:rPr>
              <w:t>12</w:t>
            </w:r>
          </w:p>
        </w:tc>
        <w:tc>
          <w:tcPr>
            <w:tcW w:type="dxa" w:w="1569"/>
          </w:tcPr>
          <w:p>
            <w:pPr>
              <w:spacing w:after="40"/>
            </w:pPr>
            <w:r/>
            <w:r>
              <w:rPr>
                <w:sz w:val="18"/>
              </w:rPr>
              <w:t>High</w:t>
            </w:r>
          </w:p>
        </w:tc>
        <w:tc>
          <w:tcPr>
            <w:tcW w:type="dxa" w:w="1569"/>
          </w:tcPr>
          <w:p>
            <w:pPr>
              <w:spacing w:after="40"/>
            </w:pPr>
            <w:r/>
            <w:r>
              <w:rPr>
                <w:sz w:val="18"/>
              </w:rPr>
              <w:t>Support Lead</w:t>
            </w:r>
          </w:p>
        </w:tc>
        <w:tc>
          <w:tcPr>
            <w:tcW w:type="dxa" w:w="1569"/>
          </w:tcPr>
          <w:p>
            <w:pPr>
              <w:spacing w:after="40"/>
            </w:pPr>
            <w:r/>
            <w:r>
              <w:rPr>
                <w:sz w:val="18"/>
              </w:rPr>
              <w:t>Conduct mandatory hands-on sandbox training and weekly feedback sessions; check adoption rates via system login logs.</w:t>
            </w:r>
          </w:p>
        </w:tc>
        <w:tc>
          <w:tcPr>
            <w:tcW w:type="dxa" w:w="1569"/>
          </w:tcPr>
          <w:p>
            <w:pPr>
              <w:spacing w:after="40"/>
            </w:pPr>
            <w:r/>
            <w:r>
              <w:rPr>
                <w:sz w:val="18"/>
              </w:rPr>
              <w:t>Weekly</w:t>
            </w:r>
          </w:p>
        </w:tc>
      </w:tr>
      <w:tr>
        <w:trPr>
          <w:cantSplit/>
        </w:trPr>
        <w:tc>
          <w:tcPr>
            <w:tcW w:type="dxa" w:w="1569"/>
            <w:shd w:val="clear" w:fill="F2F5F9"/>
          </w:tcPr>
          <w:p>
            <w:pPr>
              <w:spacing w:after="40"/>
            </w:pPr>
            <w:r/>
            <w:r>
              <w:rPr>
                <w:sz w:val="18"/>
              </w:rPr>
              <w:t>Inadequate off-hours self-service deflection</w:t>
            </w:r>
          </w:p>
        </w:tc>
        <w:tc>
          <w:tcPr>
            <w:tcW w:type="dxa" w:w="1569"/>
            <w:shd w:val="clear" w:fill="F2F5F9"/>
          </w:tcPr>
          <w:p>
            <w:pPr>
              <w:spacing w:after="40"/>
            </w:pPr>
            <w:r/>
            <w:r>
              <w:rPr>
                <w:sz w:val="18"/>
              </w:rPr>
              <w:t>9</w:t>
            </w:r>
          </w:p>
        </w:tc>
        <w:tc>
          <w:tcPr>
            <w:tcW w:type="dxa" w:w="1569"/>
            <w:shd w:val="clear" w:fill="F2F5F9"/>
          </w:tcPr>
          <w:p>
            <w:pPr>
              <w:spacing w:after="40"/>
            </w:pPr>
            <w:r/>
            <w:r>
              <w:rPr>
                <w:sz w:val="18"/>
              </w:rPr>
              <w:t>Medium</w:t>
            </w:r>
          </w:p>
        </w:tc>
        <w:tc>
          <w:tcPr>
            <w:tcW w:type="dxa" w:w="1569"/>
            <w:shd w:val="clear" w:fill="F2F5F9"/>
          </w:tcPr>
          <w:p>
            <w:pPr>
              <w:spacing w:after="40"/>
            </w:pPr>
            <w:r/>
            <w:r>
              <w:rPr>
                <w:sz w:val="18"/>
              </w:rPr>
              <w:t>Product Specialist</w:t>
            </w:r>
          </w:p>
        </w:tc>
        <w:tc>
          <w:tcPr>
            <w:tcW w:type="dxa" w:w="1569"/>
            <w:shd w:val="clear" w:fill="F2F5F9"/>
          </w:tcPr>
          <w:p>
            <w:pPr>
              <w:spacing w:after="40"/>
            </w:pPr>
            <w:r/>
            <w:r>
              <w:rPr>
                <w:sz w:val="18"/>
              </w:rPr>
              <w:t>Audit top 20 recurring ticket topics bi-weekly and refine knowledge base articles; check deflection percentage metrics.</w:t>
            </w:r>
          </w:p>
        </w:tc>
        <w:tc>
          <w:tcPr>
            <w:tcW w:type="dxa" w:w="1569"/>
            <w:shd w:val="clear" w:fill="F2F5F9"/>
          </w:tcPr>
          <w:p>
            <w:pPr>
              <w:spacing w:after="40"/>
            </w:pPr>
            <w:r/>
            <w:r>
              <w:rPr>
                <w:sz w:val="18"/>
              </w:rPr>
              <w:t>Bi-weekly</w:t>
            </w:r>
          </w:p>
        </w:tc>
      </w:tr>
      <w:tr>
        <w:trPr>
          <w:cantSplit/>
        </w:trPr>
        <w:tc>
          <w:tcPr>
            <w:tcW w:type="dxa" w:w="1569"/>
          </w:tcPr>
          <w:p>
            <w:pPr>
              <w:spacing w:after="40"/>
            </w:pPr>
            <w:r/>
            <w:r>
              <w:rPr>
                <w:sz w:val="18"/>
              </w:rPr>
              <w:t>Budget overrun on commercial tier features</w:t>
            </w:r>
          </w:p>
        </w:tc>
        <w:tc>
          <w:tcPr>
            <w:tcW w:type="dxa" w:w="1569"/>
          </w:tcPr>
          <w:p>
            <w:pPr>
              <w:spacing w:after="40"/>
            </w:pPr>
            <w:r/>
            <w:r>
              <w:rPr>
                <w:sz w:val="18"/>
              </w:rPr>
              <w:t>8</w:t>
            </w:r>
          </w:p>
        </w:tc>
        <w:tc>
          <w:tcPr>
            <w:tcW w:type="dxa" w:w="1569"/>
          </w:tcPr>
          <w:p>
            <w:pPr>
              <w:spacing w:after="40"/>
            </w:pPr>
            <w:r/>
            <w:r>
              <w:rPr>
                <w:sz w:val="18"/>
              </w:rPr>
              <w:t>Medium</w:t>
            </w:r>
          </w:p>
        </w:tc>
        <w:tc>
          <w:tcPr>
            <w:tcW w:type="dxa" w:w="1569"/>
          </w:tcPr>
          <w:p>
            <w:pPr>
              <w:spacing w:after="40"/>
            </w:pPr>
            <w:r/>
            <w:r>
              <w:rPr>
                <w:sz w:val="18"/>
              </w:rPr>
              <w:t>Operations Manager</w:t>
            </w:r>
          </w:p>
        </w:tc>
        <w:tc>
          <w:tcPr>
            <w:tcW w:type="dxa" w:w="1569"/>
          </w:tcPr>
          <w:p>
            <w:pPr>
              <w:spacing w:after="40"/>
            </w:pPr>
            <w:r/>
            <w:r>
              <w:rPr>
                <w:sz w:val="18"/>
              </w:rPr>
              <w:t>Enforce strict pre-approval gates for any paid add-ons; check monthly invoice reconciliations against the $500 cap.</w:t>
            </w:r>
          </w:p>
        </w:tc>
        <w:tc>
          <w:tcPr>
            <w:tcW w:type="dxa" w:w="1569"/>
          </w:tcPr>
          <w:p>
            <w:pPr>
              <w:spacing w:after="40"/>
            </w:pPr>
            <w:r/>
            <w:r>
              <w:rPr>
                <w:sz w:val="18"/>
              </w:rPr>
              <w:t>Monthly</w:t>
            </w:r>
          </w:p>
        </w:tc>
      </w:tr>
    </w:tbl>
    <w:p>
      <w:pPr>
        <w:spacing w:after="40"/>
      </w:pPr>
    </w:p>
    <w:p>
      <w:r>
        <w:t>For verified operational facts, team size, ticket volume, current tools, and the exact budget cap remain unconfirmed by historical records and are treated as illustrative planning assumptions. Any deviations from these baseline thresholds will trigger an immediate review by the Operations Manager to prevent scope creep.</w:t>
      </w:r>
    </w:p>
    <w:p>
      <w:pPr>
        <w:pStyle w:val="Heading1"/>
      </w:pPr>
      <w:r>
        <w:t>6. Executive Summary and Success Criteria</w:t>
      </w:r>
    </w:p>
    <w:p>
      <w:r>
        <w:t>This executive summary synthesizes the proposal to optimize support first-response times and establish sustainable coverage under strict budget constraints. Because team size and ticket volume metrics were not provided for this proposal, planning relies on illustrative assumptions of 5 support agents handling 4,000 monthly tickets with legacy tools. To resolve the conflict between leadership demands for 24/7 availability and a near-zero budget, the strategy rejects expensive night-shift staffing in favor of asynchronous self-service and automated off-hours triage. This provides pseudo-24/7 coverage while keeping incremental expenditures at or below the $500 monthly budget cap.</w:t>
      </w:r>
    </w:p>
    <w:p>
      <w:pPr>
        <w:keepNext/>
        <w:spacing w:after="60"/>
      </w:pPr>
      <w:r>
        <w:rPr>
          <w:b/>
          <w:color w:val="5F6973"/>
          <w:sz w:val="18"/>
        </w:rPr>
        <w:t>Measurable Success Criteria and Monitoring Workflow</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882"/>
            <w:shd w:val="clear" w:fill="1F3752"/>
          </w:tcPr>
          <w:p>
            <w:r/>
            <w:r>
              <w:rPr>
                <w:b/>
                <w:color w:val="FFFFFF"/>
                <w:sz w:val="18"/>
              </w:rPr>
              <w:t>Metric</w:t>
            </w:r>
          </w:p>
        </w:tc>
        <w:tc>
          <w:tcPr>
            <w:tcW w:type="dxa" w:w="1882"/>
            <w:shd w:val="clear" w:fill="1F3752"/>
          </w:tcPr>
          <w:p>
            <w:r/>
            <w:r>
              <w:rPr>
                <w:b/>
                <w:color w:val="FFFFFF"/>
                <w:sz w:val="18"/>
              </w:rPr>
              <w:t>Target</w:t>
            </w:r>
          </w:p>
        </w:tc>
        <w:tc>
          <w:tcPr>
            <w:tcW w:type="dxa" w:w="1882"/>
            <w:shd w:val="clear" w:fill="1F3752"/>
          </w:tcPr>
          <w:p>
            <w:r/>
            <w:r>
              <w:rPr>
                <w:b/>
                <w:color w:val="FFFFFF"/>
                <w:sz w:val="18"/>
              </w:rPr>
              <w:t>Data Source</w:t>
            </w:r>
          </w:p>
        </w:tc>
        <w:tc>
          <w:tcPr>
            <w:tcW w:type="dxa" w:w="1882"/>
            <w:shd w:val="clear" w:fill="1F3752"/>
          </w:tcPr>
          <w:p>
            <w:r/>
            <w:r>
              <w:rPr>
                <w:b/>
                <w:color w:val="FFFFFF"/>
                <w:sz w:val="18"/>
              </w:rPr>
              <w:t>Update Workflow</w:t>
            </w:r>
          </w:p>
        </w:tc>
        <w:tc>
          <w:tcPr>
            <w:tcW w:type="dxa" w:w="1882"/>
            <w:shd w:val="clear" w:fill="1F3752"/>
          </w:tcPr>
          <w:p>
            <w:r/>
            <w:r>
              <w:rPr>
                <w:b/>
                <w:color w:val="FFFFFF"/>
                <w:sz w:val="18"/>
              </w:rPr>
              <w:t>Review Owner</w:t>
            </w:r>
          </w:p>
        </w:tc>
      </w:tr>
      <w:tr>
        <w:trPr>
          <w:cantSplit/>
        </w:trPr>
        <w:tc>
          <w:tcPr>
            <w:tcW w:type="dxa" w:w="1882"/>
          </w:tcPr>
          <w:p>
            <w:pPr>
              <w:spacing w:after="40"/>
            </w:pPr>
            <w:r/>
            <w:r>
              <w:rPr>
                <w:sz w:val="18"/>
              </w:rPr>
              <w:t>First-Response Time (FRT)</w:t>
            </w:r>
          </w:p>
        </w:tc>
        <w:tc>
          <w:tcPr>
            <w:tcW w:type="dxa" w:w="1882"/>
          </w:tcPr>
          <w:p>
            <w:pPr>
              <w:spacing w:after="40"/>
            </w:pPr>
            <w:r/>
            <w:r>
              <w:rPr>
                <w:sz w:val="18"/>
              </w:rPr>
              <w:t>Under 2 hours during business hours; under 4 hours for off-hours asynchronous tickets</w:t>
            </w:r>
          </w:p>
        </w:tc>
        <w:tc>
          <w:tcPr>
            <w:tcW w:type="dxa" w:w="1882"/>
          </w:tcPr>
          <w:p>
            <w:pPr>
              <w:spacing w:after="40"/>
            </w:pPr>
            <w:r/>
            <w:r>
              <w:rPr>
                <w:sz w:val="18"/>
              </w:rPr>
              <w:t>Ticketing System Analytics</w:t>
            </w:r>
          </w:p>
        </w:tc>
        <w:tc>
          <w:tcPr>
            <w:tcW w:type="dxa" w:w="1882"/>
          </w:tcPr>
          <w:p>
            <w:pPr>
              <w:spacing w:after="40"/>
            </w:pPr>
            <w:r/>
            <w:r>
              <w:rPr>
                <w:sz w:val="18"/>
              </w:rPr>
              <w:t>Weekly automated report aggregation</w:t>
            </w:r>
          </w:p>
        </w:tc>
        <w:tc>
          <w:tcPr>
            <w:tcW w:type="dxa" w:w="1882"/>
          </w:tcPr>
          <w:p>
            <w:pPr>
              <w:spacing w:after="40"/>
            </w:pPr>
            <w:r/>
            <w:r>
              <w:rPr>
                <w:sz w:val="18"/>
              </w:rPr>
              <w:t>Support Lead</w:t>
            </w:r>
          </w:p>
        </w:tc>
      </w:tr>
      <w:tr>
        <w:trPr>
          <w:cantSplit/>
        </w:trPr>
        <w:tc>
          <w:tcPr>
            <w:tcW w:type="dxa" w:w="1882"/>
            <w:shd w:val="clear" w:fill="F2F5F9"/>
          </w:tcPr>
          <w:p>
            <w:pPr>
              <w:spacing w:after="40"/>
            </w:pPr>
            <w:r/>
            <w:r>
              <w:rPr>
                <w:sz w:val="18"/>
              </w:rPr>
              <w:t>Self-Service Deflection Rate</w:t>
            </w:r>
          </w:p>
        </w:tc>
        <w:tc>
          <w:tcPr>
            <w:tcW w:type="dxa" w:w="1882"/>
            <w:shd w:val="clear" w:fill="F2F5F9"/>
          </w:tcPr>
          <w:p>
            <w:pPr>
              <w:spacing w:after="40"/>
            </w:pPr>
            <w:r/>
            <w:r>
              <w:rPr>
                <w:sz w:val="18"/>
              </w:rPr>
              <w:t>15 percent reduction in inbound repetitive tickets within 60 days</w:t>
            </w:r>
          </w:p>
        </w:tc>
        <w:tc>
          <w:tcPr>
            <w:tcW w:type="dxa" w:w="1882"/>
            <w:shd w:val="clear" w:fill="F2F5F9"/>
          </w:tcPr>
          <w:p>
            <w:pPr>
              <w:spacing w:after="40"/>
            </w:pPr>
            <w:r/>
            <w:r>
              <w:rPr>
                <w:sz w:val="18"/>
              </w:rPr>
              <w:t>Knowledge Base Usage Logs</w:t>
            </w:r>
          </w:p>
        </w:tc>
        <w:tc>
          <w:tcPr>
            <w:tcW w:type="dxa" w:w="1882"/>
            <w:shd w:val="clear" w:fill="F2F5F9"/>
          </w:tcPr>
          <w:p>
            <w:pPr>
              <w:spacing w:after="40"/>
            </w:pPr>
            <w:r/>
            <w:r>
              <w:rPr>
                <w:sz w:val="18"/>
              </w:rPr>
              <w:t>Bi-weekly audit of article views versus ticket creation</w:t>
            </w:r>
          </w:p>
        </w:tc>
        <w:tc>
          <w:tcPr>
            <w:tcW w:type="dxa" w:w="1882"/>
            <w:shd w:val="clear" w:fill="F2F5F9"/>
          </w:tcPr>
          <w:p>
            <w:pPr>
              <w:spacing w:after="40"/>
            </w:pPr>
            <w:r/>
            <w:r>
              <w:rPr>
                <w:sz w:val="18"/>
              </w:rPr>
              <w:t>Operations Admin</w:t>
            </w:r>
          </w:p>
        </w:tc>
      </w:tr>
      <w:tr>
        <w:trPr>
          <w:cantSplit/>
        </w:trPr>
        <w:tc>
          <w:tcPr>
            <w:tcW w:type="dxa" w:w="1882"/>
          </w:tcPr>
          <w:p>
            <w:pPr>
              <w:spacing w:after="40"/>
            </w:pPr>
            <w:r/>
            <w:r>
              <w:rPr>
                <w:sz w:val="18"/>
              </w:rPr>
              <w:t>Budget Adherence</w:t>
            </w:r>
          </w:p>
        </w:tc>
        <w:tc>
          <w:tcPr>
            <w:tcW w:type="dxa" w:w="1882"/>
          </w:tcPr>
          <w:p>
            <w:pPr>
              <w:spacing w:after="40"/>
            </w:pPr>
            <w:r/>
            <w:r>
              <w:rPr>
                <w:sz w:val="18"/>
              </w:rPr>
              <w:t>Zero variance above the $500 monthly software and services cap</w:t>
            </w:r>
          </w:p>
        </w:tc>
        <w:tc>
          <w:tcPr>
            <w:tcW w:type="dxa" w:w="1882"/>
          </w:tcPr>
          <w:p>
            <w:pPr>
              <w:spacing w:after="40"/>
            </w:pPr>
            <w:r/>
            <w:r>
              <w:rPr>
                <w:sz w:val="18"/>
              </w:rPr>
              <w:t>Finance Ledger and Software Invoices</w:t>
            </w:r>
          </w:p>
        </w:tc>
        <w:tc>
          <w:tcPr>
            <w:tcW w:type="dxa" w:w="1882"/>
          </w:tcPr>
          <w:p>
            <w:pPr>
              <w:spacing w:after="40"/>
            </w:pPr>
            <w:r/>
            <w:r>
              <w:rPr>
                <w:sz w:val="18"/>
              </w:rPr>
              <w:t>Monthly financial reconciliation</w:t>
            </w:r>
          </w:p>
        </w:tc>
        <w:tc>
          <w:tcPr>
            <w:tcW w:type="dxa" w:w="1882"/>
          </w:tcPr>
          <w:p>
            <w:pPr>
              <w:spacing w:after="40"/>
            </w:pPr>
            <w:r/>
            <w:r>
              <w:rPr>
                <w:sz w:val="18"/>
              </w:rPr>
              <w:t>Support Lead</w:t>
            </w:r>
          </w:p>
        </w:tc>
      </w:tr>
    </w:tbl>
    <w:p>
      <w:pPr>
        <w:spacing w:after="40"/>
      </w:pPr>
    </w:p>
    <w:p>
      <w:r>
        <w:t>All metrics are measured against baseline estimates that remain illustrative due to the absence of verified historical records. Operational adjustments will be triggered immediately if weekly analytics show FRT exceeding defined targets for two consecutive reporting cycles.</w:t>
      </w:r>
    </w:p>
    <w:p>
      <w:r>
        <w:br w:type="page"/>
      </w:r>
    </w:p>
    <w:p>
      <w:pPr>
        <w:pStyle w:val="Heading1"/>
      </w:pPr>
      <w:r>
        <w:t>Appendix A: Agent execution plan</w:t>
      </w:r>
    </w:p>
    <w:p>
      <w:r>
        <w:t>Plan source: llm. Tasks with no dependencies ran in parallel; each task is traced to the requirements it satisfies.</w:t>
      </w:r>
    </w:p>
    <w:tbl>
      <w:tblPr>
        <w:tblStyle w:val="TableGrid"/>
        <w:tblW w:type="auto" w:w="0"/>
        <w:jc w:val="center"/>
        <w:tblLayout w:type="fixed"/>
        <w:tblLook w:firstColumn="1" w:firstRow="1" w:lastColumn="0" w:lastRow="0" w:noHBand="0" w:noVBand="1" w:val="04A0"/>
      </w:tblPr>
      <w:tblGrid>
        <w:gridCol w:w="624"/>
        <w:gridCol w:w="3175"/>
        <w:gridCol w:w="1361"/>
        <w:gridCol w:w="1474"/>
        <w:gridCol w:w="1701"/>
        <w:gridCol w:w="1134"/>
      </w:tblGrid>
      <w:tr>
        <w:trPr>
          <w:tblHeader/>
          <w:cantSplit/>
        </w:trPr>
        <w:tc>
          <w:tcPr>
            <w:tcW w:type="dxa" w:w="624"/>
            <w:shd w:val="clear" w:fill="1F3752"/>
          </w:tcPr>
          <w:p>
            <w:r/>
            <w:r>
              <w:rPr>
                <w:b/>
                <w:color w:val="FFFFFF"/>
                <w:sz w:val="18"/>
              </w:rPr>
              <w:t>ID</w:t>
            </w:r>
          </w:p>
        </w:tc>
        <w:tc>
          <w:tcPr>
            <w:tcW w:type="dxa" w:w="3175"/>
            <w:shd w:val="clear" w:fill="1F3752"/>
          </w:tcPr>
          <w:p>
            <w:r/>
            <w:r>
              <w:rPr>
                <w:b/>
                <w:color w:val="FFFFFF"/>
                <w:sz w:val="18"/>
              </w:rPr>
              <w:t>Task</w:t>
            </w:r>
          </w:p>
        </w:tc>
        <w:tc>
          <w:tcPr>
            <w:tcW w:type="dxa" w:w="1361"/>
            <w:shd w:val="clear" w:fill="1F3752"/>
          </w:tcPr>
          <w:p>
            <w:r/>
            <w:r>
              <w:rPr>
                <w:b/>
                <w:color w:val="FFFFFF"/>
                <w:sz w:val="18"/>
              </w:rPr>
              <w:t>Depends on</w:t>
            </w:r>
          </w:p>
        </w:tc>
        <w:tc>
          <w:tcPr>
            <w:tcW w:type="dxa" w:w="1474"/>
            <w:shd w:val="clear" w:fill="1F3752"/>
          </w:tcPr>
          <w:p>
            <w:r/>
            <w:r>
              <w:rPr>
                <w:b/>
                <w:color w:val="FFFFFF"/>
                <w:sz w:val="18"/>
              </w:rPr>
              <w:t>Requirements</w:t>
            </w:r>
          </w:p>
        </w:tc>
        <w:tc>
          <w:tcPr>
            <w:tcW w:type="dxa" w:w="1701"/>
            <w:shd w:val="clear" w:fill="1F3752"/>
          </w:tcPr>
          <w:p>
            <w:r/>
            <w:r>
              <w:rPr>
                <w:b/>
                <w:color w:val="FFFFFF"/>
                <w:sz w:val="18"/>
              </w:rPr>
              <w:t>Tools</w:t>
            </w:r>
          </w:p>
        </w:tc>
        <w:tc>
          <w:tcPr>
            <w:tcW w:type="dxa" w:w="1134"/>
            <w:shd w:val="clear" w:fill="1F3752"/>
          </w:tcPr>
          <w:p>
            <w:r/>
            <w:r>
              <w:rPr>
                <w:b/>
                <w:color w:val="FFFFFF"/>
                <w:sz w:val="18"/>
              </w:rPr>
              <w:t>Status</w:t>
            </w:r>
          </w:p>
        </w:tc>
      </w:tr>
      <w:tr>
        <w:trPr>
          <w:cantSplit/>
        </w:trPr>
        <w:tc>
          <w:tcPr>
            <w:tcW w:type="dxa" w:w="624"/>
          </w:tcPr>
          <w:p>
            <w:pPr>
              <w:spacing w:after="40"/>
            </w:pPr>
            <w:r/>
            <w:r>
              <w:rPr>
                <w:sz w:val="18"/>
              </w:rPr>
              <w:t>T1</w:t>
            </w:r>
          </w:p>
        </w:tc>
        <w:tc>
          <w:tcPr>
            <w:tcW w:type="dxa" w:w="3175"/>
          </w:tcPr>
          <w:p>
            <w:pPr>
              <w:spacing w:after="40"/>
            </w:pPr>
            <w:r/>
            <w:r>
              <w:rPr>
                <w:sz w:val="18"/>
              </w:rPr>
              <w:t>Baseline Analysis and Assumptions</w:t>
            </w:r>
          </w:p>
        </w:tc>
        <w:tc>
          <w:tcPr>
            <w:tcW w:type="dxa" w:w="1361"/>
          </w:tcPr>
          <w:p>
            <w:pPr>
              <w:spacing w:after="40"/>
            </w:pPr>
            <w:r/>
            <w:r>
              <w:rPr>
                <w:sz w:val="18"/>
              </w:rPr>
              <w:t>-</w:t>
            </w:r>
          </w:p>
        </w:tc>
        <w:tc>
          <w:tcPr>
            <w:tcW w:type="dxa" w:w="1474"/>
          </w:tcPr>
          <w:p>
            <w:pPr>
              <w:spacing w:after="40"/>
            </w:pPr>
            <w:r/>
            <w:r>
              <w:rPr>
                <w:sz w:val="18"/>
              </w:rPr>
              <w:t>R1, R7</w:t>
            </w:r>
          </w:p>
        </w:tc>
        <w:tc>
          <w:tcPr>
            <w:tcW w:type="dxa" w:w="1701"/>
          </w:tcPr>
          <w:p>
            <w:pPr>
              <w:spacing w:after="40"/>
            </w:pPr>
            <w:r/>
            <w:r>
              <w:rPr>
                <w:sz w:val="18"/>
              </w:rPr>
              <w:t>-</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T2</w:t>
            </w:r>
          </w:p>
        </w:tc>
        <w:tc>
          <w:tcPr>
            <w:tcW w:type="dxa" w:w="3175"/>
            <w:shd w:val="clear" w:fill="F2F5F9"/>
          </w:tcPr>
          <w:p>
            <w:pPr>
              <w:spacing w:after="40"/>
            </w:pPr>
            <w:r/>
            <w:r>
              <w:rPr>
                <w:sz w:val="18"/>
              </w:rPr>
              <w:t>Strategic Trade-off Justification</w:t>
            </w:r>
          </w:p>
        </w:tc>
        <w:tc>
          <w:tcPr>
            <w:tcW w:type="dxa" w:w="1361"/>
            <w:shd w:val="clear" w:fill="F2F5F9"/>
          </w:tcPr>
          <w:p>
            <w:pPr>
              <w:spacing w:after="40"/>
            </w:pPr>
            <w:r/>
            <w:r>
              <w:rPr>
                <w:sz w:val="18"/>
              </w:rPr>
              <w:t>-</w:t>
            </w:r>
          </w:p>
        </w:tc>
        <w:tc>
          <w:tcPr>
            <w:tcW w:type="dxa" w:w="1474"/>
            <w:shd w:val="clear" w:fill="F2F5F9"/>
          </w:tcPr>
          <w:p>
            <w:pPr>
              <w:spacing w:after="40"/>
            </w:pPr>
            <w:r/>
            <w:r>
              <w:rPr>
                <w:sz w:val="18"/>
              </w:rPr>
              <w:t>R2</w:t>
            </w:r>
          </w:p>
        </w:tc>
        <w:tc>
          <w:tcPr>
            <w:tcW w:type="dxa" w:w="1701"/>
            <w:shd w:val="clear" w:fill="F2F5F9"/>
          </w:tcPr>
          <w:p>
            <w:pPr>
              <w:spacing w:after="40"/>
            </w:pPr>
            <w:r/>
            <w:r>
              <w:rPr>
                <w:sz w:val="18"/>
              </w:rPr>
              <w:t>-</w:t>
            </w:r>
          </w:p>
        </w:tc>
        <w:tc>
          <w:tcPr>
            <w:tcW w:type="dxa" w:w="1134"/>
            <w:shd w:val="clear" w:fill="F2F5F9"/>
          </w:tcPr>
          <w:p>
            <w:pPr>
              <w:spacing w:after="40"/>
            </w:pPr>
            <w:r/>
            <w:r>
              <w:rPr>
                <w:sz w:val="18"/>
              </w:rPr>
              <w:t>completed</w:t>
            </w:r>
          </w:p>
        </w:tc>
      </w:tr>
      <w:tr>
        <w:trPr>
          <w:cantSplit/>
        </w:trPr>
        <w:tc>
          <w:tcPr>
            <w:tcW w:type="dxa" w:w="624"/>
          </w:tcPr>
          <w:p>
            <w:pPr>
              <w:spacing w:after="40"/>
            </w:pPr>
            <w:r/>
            <w:r>
              <w:rPr>
                <w:sz w:val="18"/>
              </w:rPr>
              <w:t>T3</w:t>
            </w:r>
          </w:p>
        </w:tc>
        <w:tc>
          <w:tcPr>
            <w:tcW w:type="dxa" w:w="3175"/>
          </w:tcPr>
          <w:p>
            <w:pPr>
              <w:spacing w:after="40"/>
            </w:pPr>
            <w:r/>
            <w:r>
              <w:rPr>
                <w:sz w:val="18"/>
              </w:rPr>
              <w:t>Approach Comparison and Costing</w:t>
            </w:r>
          </w:p>
        </w:tc>
        <w:tc>
          <w:tcPr>
            <w:tcW w:type="dxa" w:w="1361"/>
          </w:tcPr>
          <w:p>
            <w:pPr>
              <w:spacing w:after="40"/>
            </w:pPr>
            <w:r/>
            <w:r>
              <w:rPr>
                <w:sz w:val="18"/>
              </w:rPr>
              <w:t>-</w:t>
            </w:r>
          </w:p>
        </w:tc>
        <w:tc>
          <w:tcPr>
            <w:tcW w:type="dxa" w:w="1474"/>
          </w:tcPr>
          <w:p>
            <w:pPr>
              <w:spacing w:after="40"/>
            </w:pPr>
            <w:r/>
            <w:r>
              <w:rPr>
                <w:sz w:val="18"/>
              </w:rPr>
              <w:t>R3</w:t>
            </w:r>
          </w:p>
        </w:tc>
        <w:tc>
          <w:tcPr>
            <w:tcW w:type="dxa" w:w="1701"/>
          </w:tcPr>
          <w:p>
            <w:pPr>
              <w:spacing w:after="40"/>
            </w:pPr>
            <w:r/>
            <w:r>
              <w:rPr>
                <w:sz w:val="18"/>
              </w:rPr>
              <w:t>calculate</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T4</w:t>
            </w:r>
          </w:p>
        </w:tc>
        <w:tc>
          <w:tcPr>
            <w:tcW w:type="dxa" w:w="3175"/>
            <w:shd w:val="clear" w:fill="F2F5F9"/>
          </w:tcPr>
          <w:p>
            <w:pPr>
              <w:spacing w:after="40"/>
            </w:pPr>
            <w:r/>
            <w:r>
              <w:rPr>
                <w:sz w:val="18"/>
              </w:rPr>
              <w:t>Phased Rollout Schedule</w:t>
            </w:r>
          </w:p>
        </w:tc>
        <w:tc>
          <w:tcPr>
            <w:tcW w:type="dxa" w:w="1361"/>
            <w:shd w:val="clear" w:fill="F2F5F9"/>
          </w:tcPr>
          <w:p>
            <w:pPr>
              <w:spacing w:after="40"/>
            </w:pPr>
            <w:r/>
            <w:r>
              <w:rPr>
                <w:sz w:val="18"/>
              </w:rPr>
              <w:t>-</w:t>
            </w:r>
          </w:p>
        </w:tc>
        <w:tc>
          <w:tcPr>
            <w:tcW w:type="dxa" w:w="1474"/>
            <w:shd w:val="clear" w:fill="F2F5F9"/>
          </w:tcPr>
          <w:p>
            <w:pPr>
              <w:spacing w:after="40"/>
            </w:pPr>
            <w:r/>
            <w:r>
              <w:rPr>
                <w:sz w:val="18"/>
              </w:rPr>
              <w:t>R4</w:t>
            </w:r>
          </w:p>
        </w:tc>
        <w:tc>
          <w:tcPr>
            <w:tcW w:type="dxa" w:w="1701"/>
            <w:shd w:val="clear" w:fill="F2F5F9"/>
          </w:tcPr>
          <w:p>
            <w:pPr>
              <w:spacing w:after="40"/>
            </w:pPr>
            <w:r/>
            <w:r>
              <w:rPr>
                <w:sz w:val="18"/>
              </w:rPr>
              <w:t>schedule</w:t>
            </w:r>
          </w:p>
        </w:tc>
        <w:tc>
          <w:tcPr>
            <w:tcW w:type="dxa" w:w="1134"/>
            <w:shd w:val="clear" w:fill="F2F5F9"/>
          </w:tcPr>
          <w:p>
            <w:pPr>
              <w:spacing w:after="40"/>
            </w:pPr>
            <w:r/>
            <w:r>
              <w:rPr>
                <w:sz w:val="18"/>
              </w:rPr>
              <w:t>completed</w:t>
            </w:r>
          </w:p>
        </w:tc>
      </w:tr>
      <w:tr>
        <w:trPr>
          <w:cantSplit/>
        </w:trPr>
        <w:tc>
          <w:tcPr>
            <w:tcW w:type="dxa" w:w="624"/>
          </w:tcPr>
          <w:p>
            <w:pPr>
              <w:spacing w:after="40"/>
            </w:pPr>
            <w:r/>
            <w:r>
              <w:rPr>
                <w:sz w:val="18"/>
              </w:rPr>
              <w:t>T5</w:t>
            </w:r>
          </w:p>
        </w:tc>
        <w:tc>
          <w:tcPr>
            <w:tcW w:type="dxa" w:w="3175"/>
          </w:tcPr>
          <w:p>
            <w:pPr>
              <w:spacing w:after="40"/>
            </w:pPr>
            <w:r/>
            <w:r>
              <w:rPr>
                <w:sz w:val="18"/>
              </w:rPr>
              <w:t>Risk Assessment and Mitigation</w:t>
            </w:r>
          </w:p>
        </w:tc>
        <w:tc>
          <w:tcPr>
            <w:tcW w:type="dxa" w:w="1361"/>
          </w:tcPr>
          <w:p>
            <w:pPr>
              <w:spacing w:after="40"/>
            </w:pPr>
            <w:r/>
            <w:r>
              <w:rPr>
                <w:sz w:val="18"/>
              </w:rPr>
              <w:t>-</w:t>
            </w:r>
          </w:p>
        </w:tc>
        <w:tc>
          <w:tcPr>
            <w:tcW w:type="dxa" w:w="1474"/>
          </w:tcPr>
          <w:p>
            <w:pPr>
              <w:spacing w:after="40"/>
            </w:pPr>
            <w:r/>
            <w:r>
              <w:rPr>
                <w:sz w:val="18"/>
              </w:rPr>
              <w:t>R5</w:t>
            </w:r>
          </w:p>
        </w:tc>
        <w:tc>
          <w:tcPr>
            <w:tcW w:type="dxa" w:w="1701"/>
          </w:tcPr>
          <w:p>
            <w:pPr>
              <w:spacing w:after="40"/>
            </w:pPr>
            <w:r/>
            <w:r>
              <w:rPr>
                <w:sz w:val="18"/>
              </w:rPr>
              <w:t>risk_score</w:t>
            </w:r>
          </w:p>
        </w:tc>
        <w:tc>
          <w:tcPr>
            <w:tcW w:type="dxa" w:w="1134"/>
          </w:tcPr>
          <w:p>
            <w:pPr>
              <w:spacing w:after="40"/>
            </w:pPr>
            <w:r/>
            <w:r>
              <w:rPr>
                <w:sz w:val="18"/>
              </w:rPr>
              <w:t>completed</w:t>
            </w:r>
          </w:p>
        </w:tc>
      </w:tr>
      <w:tr>
        <w:trPr>
          <w:cantSplit/>
        </w:trPr>
        <w:tc>
          <w:tcPr>
            <w:tcW w:type="dxa" w:w="624"/>
            <w:shd w:val="clear" w:fill="F2F5F9"/>
          </w:tcPr>
          <w:p>
            <w:pPr>
              <w:spacing w:after="40"/>
            </w:pPr>
            <w:r/>
            <w:r>
              <w:rPr>
                <w:sz w:val="18"/>
              </w:rPr>
              <w:t>T6</w:t>
            </w:r>
          </w:p>
        </w:tc>
        <w:tc>
          <w:tcPr>
            <w:tcW w:type="dxa" w:w="3175"/>
            <w:shd w:val="clear" w:fill="F2F5F9"/>
          </w:tcPr>
          <w:p>
            <w:pPr>
              <w:spacing w:after="40"/>
            </w:pPr>
            <w:r/>
            <w:r>
              <w:rPr>
                <w:sz w:val="18"/>
              </w:rPr>
              <w:t>Success Criteria and Executive Summary</w:t>
            </w:r>
          </w:p>
        </w:tc>
        <w:tc>
          <w:tcPr>
            <w:tcW w:type="dxa" w:w="1361"/>
            <w:shd w:val="clear" w:fill="F2F5F9"/>
          </w:tcPr>
          <w:p>
            <w:pPr>
              <w:spacing w:after="40"/>
            </w:pPr>
            <w:r/>
            <w:r>
              <w:rPr>
                <w:sz w:val="18"/>
              </w:rPr>
              <w:t>T1, T2, T3, T4, T5</w:t>
            </w:r>
          </w:p>
        </w:tc>
        <w:tc>
          <w:tcPr>
            <w:tcW w:type="dxa" w:w="1474"/>
            <w:shd w:val="clear" w:fill="F2F5F9"/>
          </w:tcPr>
          <w:p>
            <w:pPr>
              <w:spacing w:after="40"/>
            </w:pPr>
            <w:r/>
            <w:r>
              <w:rPr>
                <w:sz w:val="18"/>
              </w:rPr>
              <w:t>R6</w:t>
            </w:r>
          </w:p>
        </w:tc>
        <w:tc>
          <w:tcPr>
            <w:tcW w:type="dxa" w:w="1701"/>
            <w:shd w:val="clear" w:fill="F2F5F9"/>
          </w:tcPr>
          <w:p>
            <w:pPr>
              <w:spacing w:after="40"/>
            </w:pPr>
            <w:r/>
            <w:r>
              <w:rPr>
                <w:sz w:val="18"/>
              </w:rPr>
              <w:t>-</w:t>
            </w:r>
          </w:p>
        </w:tc>
        <w:tc>
          <w:tcPr>
            <w:tcW w:type="dxa" w:w="1134"/>
            <w:shd w:val="clear" w:fill="F2F5F9"/>
          </w:tcPr>
          <w:p>
            <w:pPr>
              <w:spacing w:after="40"/>
            </w:pPr>
            <w:r/>
            <w:r>
              <w:rPr>
                <w:sz w:val="18"/>
              </w:rPr>
              <w:t>completed</w:t>
            </w:r>
          </w:p>
        </w:tc>
      </w:tr>
    </w:tbl>
    <w:p>
      <w:pPr>
        <w:spacing w:after="40"/>
      </w:pPr>
    </w:p>
    <w:p>
      <w:pPr>
        <w:pStyle w:val="Heading1"/>
      </w:pPr>
      <w:r>
        <w:t>Appendix B: Requirements traceability</w:t>
      </w:r>
    </w:p>
    <w:tbl>
      <w:tblPr>
        <w:tblStyle w:val="TableGrid"/>
        <w:tblW w:type="auto" w:w="0"/>
        <w:jc w:val="center"/>
        <w:tblLayout w:type="fixed"/>
        <w:tblLook w:firstColumn="1" w:firstRow="1" w:lastColumn="0" w:lastRow="0" w:noHBand="0" w:noVBand="1" w:val="04A0"/>
      </w:tblPr>
      <w:tblGrid>
        <w:gridCol w:w="624"/>
        <w:gridCol w:w="4535"/>
        <w:gridCol w:w="1361"/>
        <w:gridCol w:w="2948"/>
      </w:tblGrid>
      <w:tr>
        <w:trPr>
          <w:tblHeader/>
          <w:cantSplit/>
        </w:trPr>
        <w:tc>
          <w:tcPr>
            <w:tcW w:type="dxa" w:w="624"/>
            <w:shd w:val="clear" w:fill="1F3752"/>
          </w:tcPr>
          <w:p>
            <w:r/>
            <w:r>
              <w:rPr>
                <w:b/>
                <w:color w:val="FFFFFF"/>
                <w:sz w:val="18"/>
              </w:rPr>
              <w:t>ID</w:t>
            </w:r>
          </w:p>
        </w:tc>
        <w:tc>
          <w:tcPr>
            <w:tcW w:type="dxa" w:w="4535"/>
            <w:shd w:val="clear" w:fill="1F3752"/>
          </w:tcPr>
          <w:p>
            <w:r/>
            <w:r>
              <w:rPr>
                <w:b/>
                <w:color w:val="FFFFFF"/>
                <w:sz w:val="18"/>
              </w:rPr>
              <w:t>Requirement</w:t>
            </w:r>
          </w:p>
        </w:tc>
        <w:tc>
          <w:tcPr>
            <w:tcW w:type="dxa" w:w="1361"/>
            <w:shd w:val="clear" w:fill="1F3752"/>
          </w:tcPr>
          <w:p>
            <w:r/>
            <w:r>
              <w:rPr>
                <w:b/>
                <w:color w:val="FFFFFF"/>
                <w:sz w:val="18"/>
              </w:rPr>
              <w:t>Covered by</w:t>
            </w:r>
          </w:p>
        </w:tc>
        <w:tc>
          <w:tcPr>
            <w:tcW w:type="dxa" w:w="2948"/>
            <w:shd w:val="clear" w:fill="1F3752"/>
          </w:tcPr>
          <w:p>
            <w:r/>
            <w:r>
              <w:rPr>
                <w:b/>
                <w:color w:val="FFFFFF"/>
                <w:sz w:val="18"/>
              </w:rPr>
              <w:t>Review</w:t>
            </w:r>
          </w:p>
        </w:tc>
      </w:tr>
      <w:tr>
        <w:trPr>
          <w:cantSplit/>
        </w:trPr>
        <w:tc>
          <w:tcPr>
            <w:tcW w:type="dxa" w:w="624"/>
          </w:tcPr>
          <w:p>
            <w:pPr>
              <w:spacing w:after="40"/>
            </w:pPr>
            <w:r/>
            <w:r>
              <w:rPr>
                <w:sz w:val="18"/>
              </w:rPr>
              <w:t>R1</w:t>
            </w:r>
          </w:p>
        </w:tc>
        <w:tc>
          <w:tcPr>
            <w:tcW w:type="dxa" w:w="4535"/>
          </w:tcPr>
          <w:p>
            <w:pPr>
              <w:spacing w:after="40"/>
            </w:pPr>
            <w:r/>
            <w:r>
              <w:rPr>
                <w:sz w:val="18"/>
              </w:rPr>
              <w:t>State and justify all baseline operational assumptions regarding team size, ticket volume, and current tools.</w:t>
            </w:r>
          </w:p>
        </w:tc>
        <w:tc>
          <w:tcPr>
            <w:tcW w:type="dxa" w:w="1361"/>
          </w:tcPr>
          <w:p>
            <w:pPr>
              <w:spacing w:after="40"/>
            </w:pPr>
            <w:r/>
            <w:r>
              <w:rPr>
                <w:sz w:val="18"/>
              </w:rPr>
              <w:t>T1</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R2</w:t>
            </w:r>
          </w:p>
        </w:tc>
        <w:tc>
          <w:tcPr>
            <w:tcW w:type="dxa" w:w="4535"/>
            <w:shd w:val="clear" w:fill="F2F5F9"/>
          </w:tcPr>
          <w:p>
            <w:pPr>
              <w:spacing w:after="40"/>
            </w:pPr>
            <w:r/>
            <w:r>
              <w:rPr>
                <w:sz w:val="18"/>
              </w:rPr>
              <w:t>Explicitly state the trade-off chosen between the 'basically nothing' budget and the 24/7 coverage requirement.</w:t>
            </w:r>
          </w:p>
        </w:tc>
        <w:tc>
          <w:tcPr>
            <w:tcW w:type="dxa" w:w="1361"/>
            <w:shd w:val="clear" w:fill="F2F5F9"/>
          </w:tcPr>
          <w:p>
            <w:pPr>
              <w:spacing w:after="40"/>
            </w:pPr>
            <w:r/>
            <w:r>
              <w:rPr>
                <w:sz w:val="18"/>
              </w:rPr>
              <w:t>T2</w:t>
            </w:r>
          </w:p>
        </w:tc>
        <w:tc>
          <w:tcPr>
            <w:tcW w:type="dxa" w:w="2948"/>
            <w:shd w:val="clear" w:fill="F2F5F9"/>
          </w:tcPr>
          <w:p>
            <w:pPr>
              <w:spacing w:after="40"/>
            </w:pPr>
            <w:r/>
            <w:r>
              <w:rPr>
                <w:sz w:val="18"/>
              </w:rPr>
              <w:t>met</w:t>
            </w:r>
          </w:p>
        </w:tc>
      </w:tr>
      <w:tr>
        <w:trPr>
          <w:cantSplit/>
        </w:trPr>
        <w:tc>
          <w:tcPr>
            <w:tcW w:type="dxa" w:w="624"/>
          </w:tcPr>
          <w:p>
            <w:pPr>
              <w:spacing w:after="40"/>
            </w:pPr>
            <w:r/>
            <w:r>
              <w:rPr>
                <w:sz w:val="18"/>
              </w:rPr>
              <w:t>R3</w:t>
            </w:r>
          </w:p>
        </w:tc>
        <w:tc>
          <w:tcPr>
            <w:tcW w:type="dxa" w:w="4535"/>
          </w:tcPr>
          <w:p>
            <w:pPr>
              <w:spacing w:after="40"/>
            </w:pPr>
            <w:r/>
            <w:r>
              <w:rPr>
                <w:sz w:val="18"/>
              </w:rPr>
              <w:t>Compare at least two distinct approaches with exact costed budgets using the calculation tool.</w:t>
            </w:r>
          </w:p>
        </w:tc>
        <w:tc>
          <w:tcPr>
            <w:tcW w:type="dxa" w:w="1361"/>
          </w:tcPr>
          <w:p>
            <w:pPr>
              <w:spacing w:after="40"/>
            </w:pPr>
            <w:r/>
            <w:r>
              <w:rPr>
                <w:sz w:val="18"/>
              </w:rPr>
              <w:t>T3</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R4</w:t>
            </w:r>
          </w:p>
        </w:tc>
        <w:tc>
          <w:tcPr>
            <w:tcW w:type="dxa" w:w="4535"/>
            <w:shd w:val="clear" w:fill="F2F5F9"/>
          </w:tcPr>
          <w:p>
            <w:pPr>
              <w:spacing w:after="40"/>
            </w:pPr>
            <w:r/>
            <w:r>
              <w:rPr>
                <w:sz w:val="18"/>
              </w:rPr>
              <w:t>Provide a phased rollout schedule with concrete future calendar dates using the schedule tool.</w:t>
            </w:r>
          </w:p>
        </w:tc>
        <w:tc>
          <w:tcPr>
            <w:tcW w:type="dxa" w:w="1361"/>
            <w:shd w:val="clear" w:fill="F2F5F9"/>
          </w:tcPr>
          <w:p>
            <w:pPr>
              <w:spacing w:after="40"/>
            </w:pPr>
            <w:r/>
            <w:r>
              <w:rPr>
                <w:sz w:val="18"/>
              </w:rPr>
              <w:t>T4</w:t>
            </w:r>
          </w:p>
        </w:tc>
        <w:tc>
          <w:tcPr>
            <w:tcW w:type="dxa" w:w="2948"/>
            <w:shd w:val="clear" w:fill="F2F5F9"/>
          </w:tcPr>
          <w:p>
            <w:pPr>
              <w:spacing w:after="40"/>
            </w:pPr>
            <w:r/>
            <w:r>
              <w:rPr>
                <w:sz w:val="18"/>
              </w:rPr>
              <w:t>met</w:t>
            </w:r>
          </w:p>
        </w:tc>
      </w:tr>
      <w:tr>
        <w:trPr>
          <w:cantSplit/>
        </w:trPr>
        <w:tc>
          <w:tcPr>
            <w:tcW w:type="dxa" w:w="624"/>
          </w:tcPr>
          <w:p>
            <w:pPr>
              <w:spacing w:after="40"/>
            </w:pPr>
            <w:r/>
            <w:r>
              <w:rPr>
                <w:sz w:val="18"/>
              </w:rPr>
              <w:t>R5</w:t>
            </w:r>
          </w:p>
        </w:tc>
        <w:tc>
          <w:tcPr>
            <w:tcW w:type="dxa" w:w="4535"/>
          </w:tcPr>
          <w:p>
            <w:pPr>
              <w:spacing w:after="40"/>
            </w:pPr>
            <w:r/>
            <w:r>
              <w:rPr>
                <w:sz w:val="18"/>
              </w:rPr>
              <w:t>Rank the main implementation risks with numerical scores using the risk scoring tool.</w:t>
            </w:r>
          </w:p>
        </w:tc>
        <w:tc>
          <w:tcPr>
            <w:tcW w:type="dxa" w:w="1361"/>
          </w:tcPr>
          <w:p>
            <w:pPr>
              <w:spacing w:after="40"/>
            </w:pPr>
            <w:r/>
            <w:r>
              <w:rPr>
                <w:sz w:val="18"/>
              </w:rPr>
              <w:t>T5</w:t>
            </w:r>
          </w:p>
        </w:tc>
        <w:tc>
          <w:tcPr>
            <w:tcW w:type="dxa" w:w="2948"/>
          </w:tcPr>
          <w:p>
            <w:pPr>
              <w:spacing w:after="40"/>
            </w:pPr>
            <w:r/>
            <w:r>
              <w:rPr>
                <w:sz w:val="18"/>
              </w:rPr>
              <w:t>met</w:t>
            </w:r>
          </w:p>
        </w:tc>
      </w:tr>
      <w:tr>
        <w:trPr>
          <w:cantSplit/>
        </w:trPr>
        <w:tc>
          <w:tcPr>
            <w:tcW w:type="dxa" w:w="624"/>
            <w:shd w:val="clear" w:fill="F2F5F9"/>
          </w:tcPr>
          <w:p>
            <w:pPr>
              <w:spacing w:after="40"/>
            </w:pPr>
            <w:r/>
            <w:r>
              <w:rPr>
                <w:sz w:val="18"/>
              </w:rPr>
              <w:t>R6</w:t>
            </w:r>
          </w:p>
        </w:tc>
        <w:tc>
          <w:tcPr>
            <w:tcW w:type="dxa" w:w="4535"/>
            <w:shd w:val="clear" w:fill="F2F5F9"/>
          </w:tcPr>
          <w:p>
            <w:pPr>
              <w:spacing w:after="40"/>
            </w:pPr>
            <w:r/>
            <w:r>
              <w:rPr>
                <w:sz w:val="18"/>
              </w:rPr>
              <w:t>Define clear, measurable success criteria including specific targets for first-response time.</w:t>
            </w:r>
          </w:p>
        </w:tc>
        <w:tc>
          <w:tcPr>
            <w:tcW w:type="dxa" w:w="1361"/>
            <w:shd w:val="clear" w:fill="F2F5F9"/>
          </w:tcPr>
          <w:p>
            <w:pPr>
              <w:spacing w:after="40"/>
            </w:pPr>
            <w:r/>
            <w:r>
              <w:rPr>
                <w:sz w:val="18"/>
              </w:rPr>
              <w:t>T6</w:t>
            </w:r>
          </w:p>
        </w:tc>
        <w:tc>
          <w:tcPr>
            <w:tcW w:type="dxa" w:w="2948"/>
            <w:shd w:val="clear" w:fill="F2F5F9"/>
          </w:tcPr>
          <w:p>
            <w:pPr>
              <w:spacing w:after="40"/>
            </w:pPr>
            <w:r/>
            <w:r>
              <w:rPr>
                <w:sz w:val="18"/>
              </w:rPr>
              <w:t>met</w:t>
            </w:r>
          </w:p>
        </w:tc>
      </w:tr>
      <w:tr>
        <w:trPr>
          <w:cantSplit/>
        </w:trPr>
        <w:tc>
          <w:tcPr>
            <w:tcW w:type="dxa" w:w="624"/>
          </w:tcPr>
          <w:p>
            <w:pPr>
              <w:spacing w:after="40"/>
            </w:pPr>
            <w:r/>
            <w:r>
              <w:rPr>
                <w:sz w:val="18"/>
              </w:rPr>
              <w:t>R7</w:t>
            </w:r>
          </w:p>
        </w:tc>
        <w:tc>
          <w:tcPr>
            <w:tcW w:type="dxa" w:w="4535"/>
          </w:tcPr>
          <w:p>
            <w:pPr>
              <w:spacing w:after="40"/>
            </w:pPr>
            <w:r/>
            <w:r>
              <w:rPr>
                <w:sz w:val="18"/>
              </w:rPr>
              <w:t>Clearly separate verified operational facts from illustrative and invented planning numbers.</w:t>
            </w:r>
          </w:p>
        </w:tc>
        <w:tc>
          <w:tcPr>
            <w:tcW w:type="dxa" w:w="1361"/>
          </w:tcPr>
          <w:p>
            <w:pPr>
              <w:spacing w:after="40"/>
            </w:pPr>
            <w:r/>
            <w:r>
              <w:rPr>
                <w:sz w:val="18"/>
              </w:rPr>
              <w:t>T1</w:t>
            </w:r>
          </w:p>
        </w:tc>
        <w:tc>
          <w:tcPr>
            <w:tcW w:type="dxa" w:w="2948"/>
          </w:tcPr>
          <w:p>
            <w:pPr>
              <w:spacing w:after="40"/>
            </w:pPr>
            <w:r/>
            <w:r>
              <w:rPr>
                <w:sz w:val="18"/>
              </w:rPr>
              <w:t>met</w:t>
            </w:r>
          </w:p>
        </w:tc>
      </w:tr>
    </w:tbl>
    <w:p>
      <w:pPr>
        <w:spacing w:after="40"/>
      </w:pPr>
    </w:p>
    <w:p>
      <w:r>
        <w:t>The proposal comprehensively addresses all requirements by explicitly stating assumptions, resolving the budget-coverage trade-off, comparing two costed approaches, providing a dated schedule and scored risks, defining clear success metrics, and separating facts from illustrative numbers.</w:t>
      </w:r>
    </w:p>
    <w:p>
      <w:pPr>
        <w:pStyle w:val="Heading1"/>
      </w:pPr>
      <w:r>
        <w:t>Appendix C: Tool calls</w:t>
      </w:r>
    </w:p>
    <w:tbl>
      <w:tblPr>
        <w:tblStyle w:val="TableGrid"/>
        <w:tblW w:type="auto" w:w="0"/>
        <w:jc w:val="center"/>
        <w:tblLayout w:type="fixed"/>
        <w:tblLook w:firstColumn="1" w:firstRow="1" w:lastColumn="0" w:lastRow="0" w:noHBand="0" w:noVBand="1" w:val="04A0"/>
      </w:tblPr>
      <w:tblGrid>
        <w:gridCol w:w="737"/>
        <w:gridCol w:w="1361"/>
        <w:gridCol w:w="3402"/>
        <w:gridCol w:w="3969"/>
      </w:tblGrid>
      <w:tr>
        <w:trPr>
          <w:tblHeader/>
          <w:cantSplit/>
        </w:trPr>
        <w:tc>
          <w:tcPr>
            <w:tcW w:type="dxa" w:w="737"/>
            <w:shd w:val="clear" w:fill="1F3752"/>
          </w:tcPr>
          <w:p>
            <w:r/>
            <w:r>
              <w:rPr>
                <w:b/>
                <w:color w:val="FFFFFF"/>
                <w:sz w:val="18"/>
              </w:rPr>
              <w:t>Task</w:t>
            </w:r>
          </w:p>
        </w:tc>
        <w:tc>
          <w:tcPr>
            <w:tcW w:type="dxa" w:w="1361"/>
            <w:shd w:val="clear" w:fill="1F3752"/>
          </w:tcPr>
          <w:p>
            <w:r/>
            <w:r>
              <w:rPr>
                <w:b/>
                <w:color w:val="FFFFFF"/>
                <w:sz w:val="18"/>
              </w:rPr>
              <w:t>Tool</w:t>
            </w:r>
          </w:p>
        </w:tc>
        <w:tc>
          <w:tcPr>
            <w:tcW w:type="dxa" w:w="3402"/>
            <w:shd w:val="clear" w:fill="1F3752"/>
          </w:tcPr>
          <w:p>
            <w:r/>
            <w:r>
              <w:rPr>
                <w:b/>
                <w:color w:val="FFFFFF"/>
                <w:sz w:val="18"/>
              </w:rPr>
              <w:t>Arguments</w:t>
            </w:r>
          </w:p>
        </w:tc>
        <w:tc>
          <w:tcPr>
            <w:tcW w:type="dxa" w:w="3969"/>
            <w:shd w:val="clear" w:fill="1F3752"/>
          </w:tcPr>
          <w:p>
            <w:r/>
            <w:r>
              <w:rPr>
                <w:b/>
                <w:color w:val="FFFFFF"/>
                <w:sz w:val="18"/>
              </w:rPr>
              <w:t>Result</w:t>
            </w:r>
          </w:p>
        </w:tc>
      </w:tr>
      <w:tr>
        <w:trPr>
          <w:cantSplit/>
        </w:trPr>
        <w:tc>
          <w:tcPr>
            <w:tcW w:type="dxa" w:w="737"/>
          </w:tcPr>
          <w:p>
            <w:pPr>
              <w:spacing w:after="40"/>
            </w:pPr>
            <w:r/>
            <w:r>
              <w:rPr>
                <w:sz w:val="18"/>
              </w:rPr>
              <w:t>T3</w:t>
            </w:r>
          </w:p>
        </w:tc>
        <w:tc>
          <w:tcPr>
            <w:tcW w:type="dxa" w:w="1361"/>
          </w:tcPr>
          <w:p>
            <w:pPr>
              <w:spacing w:after="40"/>
            </w:pPr>
            <w:r/>
            <w:r>
              <w:rPr>
                <w:sz w:val="18"/>
              </w:rPr>
              <w:t>calculate</w:t>
            </w:r>
          </w:p>
        </w:tc>
        <w:tc>
          <w:tcPr>
            <w:tcW w:type="dxa" w:w="3402"/>
          </w:tcPr>
          <w:p>
            <w:pPr>
              <w:spacing w:after="40"/>
            </w:pPr>
            <w:r/>
            <w:r>
              <w:rPr>
                <w:sz w:val="18"/>
              </w:rPr>
              <w:t>{"expressions": ["approach_a_software = 0.00; approach_a_training = 0.00; approach_a_total = approach_a_software + approach_a_training", "ap</w:t>
            </w:r>
          </w:p>
        </w:tc>
        <w:tc>
          <w:tcPr>
            <w:tcW w:type="dxa" w:w="3969"/>
          </w:tcPr>
          <w:p>
            <w:pPr>
              <w:spacing w:after="40"/>
            </w:pPr>
            <w:r/>
            <w:r>
              <w:rPr>
                <w:sz w:val="18"/>
              </w:rPr>
              <w:t>[{"expression": "approach_a_software = 0.00; approach_a_training = 0.00; approach_a_total = approach_a_software + approach_a_training", "value": 0}, {"expression": "approach_b_software = 450.00; appro...</w:t>
            </w:r>
          </w:p>
        </w:tc>
      </w:tr>
      <w:tr>
        <w:trPr>
          <w:cantSplit/>
        </w:trPr>
        <w:tc>
          <w:tcPr>
            <w:tcW w:type="dxa" w:w="737"/>
            <w:shd w:val="clear" w:fill="F2F5F9"/>
          </w:tcPr>
          <w:p>
            <w:pPr>
              <w:spacing w:after="40"/>
            </w:pPr>
            <w:r/>
            <w:r>
              <w:rPr>
                <w:sz w:val="18"/>
              </w:rPr>
              <w:t>T4</w:t>
            </w:r>
          </w:p>
        </w:tc>
        <w:tc>
          <w:tcPr>
            <w:tcW w:type="dxa" w:w="1361"/>
            <w:shd w:val="clear" w:fill="F2F5F9"/>
          </w:tcPr>
          <w:p>
            <w:pPr>
              <w:spacing w:after="40"/>
            </w:pPr>
            <w:r/>
            <w:r>
              <w:rPr>
                <w:sz w:val="18"/>
              </w:rPr>
              <w:t>schedule</w:t>
            </w:r>
          </w:p>
        </w:tc>
        <w:tc>
          <w:tcPr>
            <w:tcW w:type="dxa" w:w="3402"/>
            <w:shd w:val="clear" w:fill="F2F5F9"/>
          </w:tcPr>
          <w:p>
            <w:pPr>
              <w:spacing w:after="40"/>
            </w:pPr>
            <w:r/>
            <w:r>
              <w:rPr>
                <w:sz w:val="18"/>
              </w:rPr>
              <w:t>{"phases": [{"name": "Discovery and Triage Configuration", "weeks": 2}, {"name": "Automation Rule Deployment", "weeks": 3}, {"name": "Team T</w:t>
            </w:r>
          </w:p>
        </w:tc>
        <w:tc>
          <w:tcPr>
            <w:tcW w:type="dxa" w:w="3969"/>
            <w:shd w:val="clear" w:fill="F2F5F9"/>
          </w:tcPr>
          <w:p>
            <w:pPr>
              <w:spacing w:after="40"/>
            </w:pPr>
            <w:r/>
            <w:r>
              <w:rPr>
                <w:sz w:val="18"/>
              </w:rPr>
              <w:t>{"phases": [{"phase": "Discovery and Triage Configuration", "start": "26 Oct 2026", "end": "08 Nov 2026", "weeks": 2.0}, {"phase": "Automation Rule Deployment", "start": "09 Nov 2026", "end": "29 Nov ...</w:t>
            </w:r>
          </w:p>
        </w:tc>
      </w:tr>
      <w:tr>
        <w:trPr>
          <w:cantSplit/>
        </w:trPr>
        <w:tc>
          <w:tcPr>
            <w:tcW w:type="dxa" w:w="737"/>
          </w:tcPr>
          <w:p>
            <w:pPr>
              <w:spacing w:after="40"/>
            </w:pPr>
            <w:r/>
            <w:r>
              <w:rPr>
                <w:sz w:val="18"/>
              </w:rPr>
              <w:t>T5</w:t>
            </w:r>
          </w:p>
        </w:tc>
        <w:tc>
          <w:tcPr>
            <w:tcW w:type="dxa" w:w="1361"/>
          </w:tcPr>
          <w:p>
            <w:pPr>
              <w:spacing w:after="40"/>
            </w:pPr>
            <w:r/>
            <w:r>
              <w:rPr>
                <w:sz w:val="18"/>
              </w:rPr>
              <w:t>risk_score</w:t>
            </w:r>
          </w:p>
        </w:tc>
        <w:tc>
          <w:tcPr>
            <w:tcW w:type="dxa" w:w="3402"/>
          </w:tcPr>
          <w:p>
            <w:pPr>
              <w:spacing w:after="40"/>
            </w:pPr>
            <w:r/>
            <w:r>
              <w:rPr>
                <w:sz w:val="18"/>
              </w:rPr>
              <w:t>{"risks": [{"name": "Agent resistance to new workflow tools", "likelihood": 4, "impact": 3}, {"name": "Budget overrun on commercial tier fea</w:t>
            </w:r>
          </w:p>
        </w:tc>
        <w:tc>
          <w:tcPr>
            <w:tcW w:type="dxa" w:w="3969"/>
          </w:tcPr>
          <w:p>
            <w:pPr>
              <w:spacing w:after="40"/>
            </w:pPr>
            <w:r/>
            <w:r>
              <w:rPr>
                <w:sz w:val="18"/>
              </w:rPr>
              <w:t>{"risks": [{"name": "Agent resistance to new workflow tools", "likelihood": 4, "impact": 3, "score": 12, "rating": "High"}, {"name": "Inadequate off-hours self-service deflection", "likelihood": 3, "i...</w:t>
            </w:r>
          </w:p>
        </w:tc>
      </w:tr>
    </w:tbl>
    <w:p>
      <w:pPr>
        <w:spacing w:after="40"/>
      </w:pP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973"/>
        <w:sz w:val="16"/>
      </w:rPr>
      <w:t xml:space="preserve">Page </w:t>
    </w:r>
    <w:r>
      <w:rPr>
        <w:color w:val="5F6973"/>
        <w:sz w:val="16"/>
      </w:rPr>
      <w:fldChar w:fldCharType="begin"/>
    </w:r>
    <w:r>
      <w:rPr>
        <w:color w:val="5F6973"/>
        <w:sz w:val="16"/>
      </w:rPr>
      <w:instrText xml:space="preserve"> PAGE </w:instrText>
    </w:r>
    <w:r>
      <w:rPr>
        <w:color w:val="5F6973"/>
        <w:sz w:val="16"/>
      </w:rPr>
      <w:fldChar w:fldCharType="separate"/>
    </w:r>
    <w:r>
      <w:rPr>
        <w:color w:val="5F6973"/>
        <w:sz w:val="16"/>
      </w:rPr>
      <w:t>1</w:t>
    </w:r>
    <w:r>
      <w:rPr>
        <w:color w:val="5F6973"/>
        <w:sz w:val="16"/>
      </w:rPr>
      <w:fldChar w:fldCharType="end"/>
    </w:r>
    <w:r>
      <w:rPr>
        <w:color w:val="5F6973"/>
        <w:sz w:val="16"/>
      </w:rPr>
      <w:t xml:space="preserve"> of </w:t>
    </w:r>
    <w:r>
      <w:rPr>
        <w:color w:val="5F6973"/>
        <w:sz w:val="16"/>
      </w:rPr>
      <w:fldChar w:fldCharType="begin"/>
    </w:r>
    <w:r>
      <w:rPr>
        <w:color w:val="5F6973"/>
        <w:sz w:val="16"/>
      </w:rPr>
      <w:instrText xml:space="preserve"> NUMPAGES </w:instrText>
    </w:r>
    <w:r>
      <w:rPr>
        <w:color w:val="5F6973"/>
        <w:sz w:val="16"/>
      </w:rPr>
      <w:fldChar w:fldCharType="separate"/>
    </w:r>
    <w:r>
      <w:rPr>
        <w:color w:val="5F6973"/>
        <w:sz w:val="16"/>
      </w:rPr>
      <w:t>1</w:t>
    </w:r>
    <w:r>
      <w:rPr>
        <w:color w:val="5F6973"/>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973"/>
        <w:sz w:val="16"/>
      </w:rPr>
      <w:t>Proposal for Support First-Response Time Optimization and Coverage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B30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F37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Support First-Response Time Optimization and Coverage Strategy</dc:title>
  <dc:subject/>
  <dc:creator>Autonomous Document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