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Knowledge Base Project Plan</w:t>
      </w:r>
    </w:p>
    <w:p>
      <w:r>
        <w:rPr>
          <w:b/>
          <w:color w:val="2F5496"/>
          <w:sz w:val="24"/>
        </w:rPr>
        <w:t>Project Plan</w:t>
      </w:r>
    </w:p>
    <w:tbl>
      <w:tblPr>
        <w:tblStyle w:val="TableGrid"/>
        <w:tblW w:type="auto" w:w="0"/>
        <w:jc w:val="center"/>
        <w:tblLayout w:type="fixed"/>
        <w:tblLook w:firstColumn="1" w:firstRow="1" w:lastColumn="0" w:lastRow="0" w:noHBand="0" w:noVBand="1" w:val="04A0"/>
      </w:tblPr>
      <w:tblGrid>
        <w:gridCol w:w="2268"/>
        <w:gridCol w:w="7143"/>
      </w:tblGrid>
      <w:tr>
        <w:trPr>
          <w:tblHeader/>
          <w:cantSplit/>
        </w:trPr>
        <w:tc>
          <w:tcPr>
            <w:tcW w:type="dxa" w:w="2268"/>
            <w:shd w:val="clear" w:fill="1F3752"/>
          </w:tcPr>
          <w:p>
            <w:r/>
            <w:r>
              <w:rPr>
                <w:b/>
                <w:color w:val="FFFFFF"/>
                <w:sz w:val="18"/>
              </w:rPr>
              <w:t>Item</w:t>
            </w:r>
          </w:p>
        </w:tc>
        <w:tc>
          <w:tcPr>
            <w:tcW w:type="dxa" w:w="7143"/>
            <w:shd w:val="clear" w:fill="1F3752"/>
          </w:tcPr>
          <w:p>
            <w:r/>
            <w:r>
              <w:rPr>
                <w:b/>
                <w:color w:val="FFFFFF"/>
                <w:sz w:val="18"/>
              </w:rPr>
              <w:t>Detail</w:t>
            </w:r>
          </w:p>
        </w:tc>
      </w:tr>
      <w:tr>
        <w:trPr>
          <w:cantSplit/>
        </w:trPr>
        <w:tc>
          <w:tcPr>
            <w:tcW w:type="dxa" w:w="2268"/>
          </w:tcPr>
          <w:p>
            <w:pPr>
              <w:spacing w:after="40"/>
            </w:pPr>
            <w:r/>
            <w:r>
              <w:rPr>
                <w:sz w:val="18"/>
              </w:rPr>
              <w:t>Prepared</w:t>
            </w:r>
          </w:p>
        </w:tc>
        <w:tc>
          <w:tcPr>
            <w:tcW w:type="dxa" w:w="7143"/>
          </w:tcPr>
          <w:p>
            <w:pPr>
              <w:spacing w:after="40"/>
            </w:pPr>
            <w:r/>
            <w:r>
              <w:rPr>
                <w:sz w:val="18"/>
              </w:rPr>
              <w:t>23 October 2026</w:t>
            </w:r>
          </w:p>
        </w:tc>
      </w:tr>
      <w:tr>
        <w:trPr>
          <w:cantSplit/>
        </w:trPr>
        <w:tc>
          <w:tcPr>
            <w:tcW w:type="dxa" w:w="2268"/>
            <w:shd w:val="clear" w:fill="F2F5F9"/>
          </w:tcPr>
          <w:p>
            <w:pPr>
              <w:spacing w:after="40"/>
            </w:pPr>
            <w:r/>
            <w:r>
              <w:rPr>
                <w:sz w:val="18"/>
              </w:rPr>
              <w:t>Generated by</w:t>
            </w:r>
          </w:p>
        </w:tc>
        <w:tc>
          <w:tcPr>
            <w:tcW w:type="dxa" w:w="7143"/>
            <w:shd w:val="clear" w:fill="F2F5F9"/>
          </w:tcPr>
          <w:p>
            <w:pPr>
              <w:spacing w:after="40"/>
            </w:pPr>
            <w:r/>
            <w:r>
              <w:rPr>
                <w:sz w:val="18"/>
              </w:rPr>
              <w:t>Autonomous Document Agent</w:t>
            </w:r>
          </w:p>
        </w:tc>
      </w:tr>
      <w:tr>
        <w:trPr>
          <w:cantSplit/>
        </w:trPr>
        <w:tc>
          <w:tcPr>
            <w:tcW w:type="dxa" w:w="2268"/>
          </w:tcPr>
          <w:p>
            <w:pPr>
              <w:spacing w:after="40"/>
            </w:pPr>
            <w:r/>
            <w:r>
              <w:rPr>
                <w:sz w:val="18"/>
              </w:rPr>
              <w:t>Reference</w:t>
            </w:r>
          </w:p>
        </w:tc>
        <w:tc>
          <w:tcPr>
            <w:tcW w:type="dxa" w:w="7143"/>
          </w:tcPr>
          <w:p>
            <w:pPr>
              <w:spacing w:after="40"/>
            </w:pPr>
            <w:r/>
            <w:r>
              <w:rPr>
                <w:sz w:val="18"/>
              </w:rPr>
              <w:t>40ae6b55</w:t>
            </w:r>
          </w:p>
        </w:tc>
      </w:tr>
    </w:tbl>
    <w:p>
      <w:pPr>
        <w:spacing w:after="40"/>
      </w:pPr>
    </w:p>
    <w:p>
      <w:pPr>
        <w:pStyle w:val="Heading1"/>
      </w:pPr>
      <w:r>
        <w:t>Purpose</w:t>
      </w:r>
    </w:p>
    <w:p>
      <w:r>
        <w:t>Provide a practical, phased execution plan for launching a customer support knowledge base for a 20-person SaaS company within a 6-week timeframe.</w:t>
      </w:r>
    </w:p>
    <w:p>
      <w:pPr>
        <w:pStyle w:val="Heading2"/>
      </w:pPr>
      <w:r>
        <w:t>Assumptions</w:t>
      </w:r>
    </w:p>
    <w:p>
      <w:pPr>
        <w:pStyle w:val="ListBullet"/>
        <w:spacing w:after="40"/>
      </w:pPr>
      <w:r>
        <w:t>The official project kickoff date is unconfirmed, so the schedule tool uses the next upcoming Monday as the baseline.</w:t>
      </w:r>
    </w:p>
    <w:p>
      <w:pPr>
        <w:pStyle w:val="ListBullet"/>
        <w:spacing w:after="40"/>
      </w:pPr>
      <w:r>
        <w:t>Content creation relies on existing product documentation and support ticket history as source material, owned by the Customer Support Lead with a monthly review cadence.</w:t>
      </w:r>
    </w:p>
    <w:p>
      <w:pPr>
        <w:pStyle w:val="ListBullet"/>
        <w:spacing w:after="40"/>
      </w:pPr>
      <w:r>
        <w:t>Access controls for the knowledge base management system will be restricted to authorized support and product team members.</w:t>
      </w:r>
    </w:p>
    <w:p>
      <w:pPr>
        <w:pStyle w:val="ListBullet"/>
        <w:spacing w:after="40"/>
      </w:pPr>
      <w:r>
        <w:t>All team members dedicated to this project have 25% of their working hours allocated specifically to knowledge base tasks.</w:t>
      </w:r>
    </w:p>
    <w:p>
      <w:pPr>
        <w:pStyle w:val="Heading1"/>
      </w:pPr>
      <w:r>
        <w:t>1. Project Objectives and Scope</w:t>
      </w:r>
    </w:p>
    <w:p>
      <w:r>
        <w:t>The primary objective of this 6-week project is to launch a centralized customer support knowledge base that reduces inbound ticket volume by 20 percent and shortens average first-response times for our 20-person SaaS company. Target audiences include active end-users seeking self-service troubleshooting and internal support agents requiring rapid access to verified documentation.</w:t>
      </w:r>
    </w:p>
    <w:p>
      <w:pPr>
        <w:pStyle w:val="ListBullet"/>
        <w:spacing w:after="40"/>
      </w:pPr>
      <w:r>
        <w:t>In-Scope: Migration of existing product documentation, drafting of top 50 anticipated customer support articles, implementation of access controls for authorized support and product team members, and integration with the primary ticketing system.</w:t>
      </w:r>
    </w:p>
    <w:p>
      <w:pPr>
        <w:pStyle w:val="ListBullet"/>
        <w:spacing w:after="40"/>
      </w:pPr>
      <w:r>
        <w:t>Out-of-Scope: Multilingual translations during phase one, custom software development of proprietary publishing tools, and customer community forums.</w:t>
      </w:r>
    </w:p>
    <w:p>
      <w:pPr>
        <w:keepNext/>
        <w:spacing w:after="60"/>
      </w:pPr>
      <w:r>
        <w:rPr>
          <w:b/>
          <w:color w:val="5F6973"/>
          <w:sz w:val="18"/>
        </w:rPr>
        <w:t>Project Scope and Ownership Matrix (Illustrative)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shd w:val="clear" w:fill="1F3752"/>
          </w:tcPr>
          <w:p>
            <w:r/>
            <w:r>
              <w:rPr>
                <w:b/>
                <w:color w:val="FFFFFF"/>
                <w:sz w:val="18"/>
              </w:rPr>
              <w:t>Scope Item</w:t>
            </w:r>
          </w:p>
        </w:tc>
        <w:tc>
          <w:tcPr>
            <w:tcW w:type="dxa" w:w="2353"/>
            <w:shd w:val="clear" w:fill="1F3752"/>
          </w:tcPr>
          <w:p>
            <w:r/>
            <w:r>
              <w:rPr>
                <w:b/>
                <w:color w:val="FFFFFF"/>
                <w:sz w:val="18"/>
              </w:rPr>
              <w:t>In/Out</w:t>
            </w:r>
          </w:p>
        </w:tc>
        <w:tc>
          <w:tcPr>
            <w:tcW w:type="dxa" w:w="2353"/>
            <w:shd w:val="clear" w:fill="1F3752"/>
          </w:tcPr>
          <w:p>
            <w:r/>
            <w:r>
              <w:rPr>
                <w:b/>
                <w:color w:val="FFFFFF"/>
                <w:sz w:val="18"/>
              </w:rPr>
              <w:t>Owner</w:t>
            </w:r>
          </w:p>
        </w:tc>
        <w:tc>
          <w:tcPr>
            <w:tcW w:type="dxa" w:w="2353"/>
            <w:shd w:val="clear" w:fill="1F3752"/>
          </w:tcPr>
          <w:p>
            <w:r/>
            <w:r>
              <w:rPr>
                <w:b/>
                <w:color w:val="FFFFFF"/>
                <w:sz w:val="18"/>
              </w:rPr>
              <w:t>Success Metric</w:t>
            </w:r>
          </w:p>
        </w:tc>
      </w:tr>
      <w:tr>
        <w:trPr>
          <w:cantSplit/>
        </w:trPr>
        <w:tc>
          <w:tcPr>
            <w:tcW w:type="dxa" w:w="2353"/>
          </w:tcPr>
          <w:p>
            <w:pPr>
              <w:spacing w:after="40"/>
            </w:pPr>
            <w:r/>
            <w:r>
              <w:rPr>
                <w:sz w:val="18"/>
              </w:rPr>
              <w:t>Top 50 Articles</w:t>
            </w:r>
          </w:p>
        </w:tc>
        <w:tc>
          <w:tcPr>
            <w:tcW w:type="dxa" w:w="2353"/>
          </w:tcPr>
          <w:p>
            <w:pPr>
              <w:spacing w:after="40"/>
            </w:pPr>
            <w:r/>
            <w:r>
              <w:rPr>
                <w:sz w:val="18"/>
              </w:rPr>
              <w:t>In-Scope</w:t>
            </w:r>
          </w:p>
        </w:tc>
        <w:tc>
          <w:tcPr>
            <w:tcW w:type="dxa" w:w="2353"/>
          </w:tcPr>
          <w:p>
            <w:pPr>
              <w:spacing w:after="40"/>
            </w:pPr>
            <w:r/>
            <w:r>
              <w:rPr>
                <w:sz w:val="18"/>
              </w:rPr>
              <w:t>Customer Support Lead</w:t>
            </w:r>
          </w:p>
        </w:tc>
        <w:tc>
          <w:tcPr>
            <w:tcW w:type="dxa" w:w="2353"/>
          </w:tcPr>
          <w:p>
            <w:pPr>
              <w:spacing w:after="40"/>
            </w:pPr>
            <w:r/>
            <w:r>
              <w:rPr>
                <w:sz w:val="18"/>
              </w:rPr>
              <w:t>100 percent drafted by Week 3</w:t>
            </w:r>
          </w:p>
        </w:tc>
      </w:tr>
      <w:tr>
        <w:trPr>
          <w:cantSplit/>
        </w:trPr>
        <w:tc>
          <w:tcPr>
            <w:tcW w:type="dxa" w:w="2353"/>
            <w:shd w:val="clear" w:fill="F2F5F9"/>
          </w:tcPr>
          <w:p>
            <w:pPr>
              <w:spacing w:after="40"/>
            </w:pPr>
            <w:r/>
            <w:r>
              <w:rPr>
                <w:sz w:val="18"/>
              </w:rPr>
              <w:t>Access Controls</w:t>
            </w:r>
          </w:p>
        </w:tc>
        <w:tc>
          <w:tcPr>
            <w:tcW w:type="dxa" w:w="2353"/>
            <w:shd w:val="clear" w:fill="F2F5F9"/>
          </w:tcPr>
          <w:p>
            <w:pPr>
              <w:spacing w:after="40"/>
            </w:pPr>
            <w:r/>
            <w:r>
              <w:rPr>
                <w:sz w:val="18"/>
              </w:rPr>
              <w:t>In-Scope</w:t>
            </w:r>
          </w:p>
        </w:tc>
        <w:tc>
          <w:tcPr>
            <w:tcW w:type="dxa" w:w="2353"/>
            <w:shd w:val="clear" w:fill="F2F5F9"/>
          </w:tcPr>
          <w:p>
            <w:pPr>
              <w:spacing w:after="40"/>
            </w:pPr>
            <w:r/>
            <w:r>
              <w:rPr>
                <w:sz w:val="18"/>
              </w:rPr>
              <w:t>Product Team Member</w:t>
            </w:r>
          </w:p>
        </w:tc>
        <w:tc>
          <w:tcPr>
            <w:tcW w:type="dxa" w:w="2353"/>
            <w:shd w:val="clear" w:fill="F2F5F9"/>
          </w:tcPr>
          <w:p>
            <w:pPr>
              <w:spacing w:after="40"/>
            </w:pPr>
            <w:r/>
            <w:r>
              <w:rPr>
                <w:sz w:val="18"/>
              </w:rPr>
              <w:t>Role-based permissions verified</w:t>
            </w:r>
          </w:p>
        </w:tc>
      </w:tr>
      <w:tr>
        <w:trPr>
          <w:cantSplit/>
        </w:trPr>
        <w:tc>
          <w:tcPr>
            <w:tcW w:type="dxa" w:w="2353"/>
          </w:tcPr>
          <w:p>
            <w:pPr>
              <w:spacing w:after="40"/>
            </w:pPr>
            <w:r/>
            <w:r>
              <w:rPr>
                <w:sz w:val="18"/>
              </w:rPr>
              <w:t>Multilingual Support</w:t>
            </w:r>
          </w:p>
        </w:tc>
        <w:tc>
          <w:tcPr>
            <w:tcW w:type="dxa" w:w="2353"/>
          </w:tcPr>
          <w:p>
            <w:pPr>
              <w:spacing w:after="40"/>
            </w:pPr>
            <w:r/>
            <w:r>
              <w:rPr>
                <w:sz w:val="18"/>
              </w:rPr>
              <w:t>Out-of-Scope</w:t>
            </w:r>
          </w:p>
        </w:tc>
        <w:tc>
          <w:tcPr>
            <w:tcW w:type="dxa" w:w="2353"/>
          </w:tcPr>
          <w:p>
            <w:pPr>
              <w:spacing w:after="40"/>
            </w:pPr>
            <w:r/>
            <w:r>
              <w:rPr>
                <w:sz w:val="18"/>
              </w:rPr>
              <w:t>N/A</w:t>
            </w:r>
          </w:p>
        </w:tc>
        <w:tc>
          <w:tcPr>
            <w:tcW w:type="dxa" w:w="2353"/>
          </w:tcPr>
          <w:p>
            <w:pPr>
              <w:spacing w:after="40"/>
            </w:pPr>
            <w:r/>
            <w:r>
              <w:rPr>
                <w:sz w:val="18"/>
              </w:rPr>
              <w:t>Deferred to future quarters</w:t>
            </w:r>
          </w:p>
        </w:tc>
      </w:tr>
    </w:tbl>
    <w:p>
      <w:pPr>
        <w:spacing w:after="40"/>
      </w:pPr>
    </w:p>
    <w:p>
      <w:pPr>
        <w:pStyle w:val="Heading1"/>
      </w:pPr>
      <w:r>
        <w:t>2. Phased Workflow and Timeline</w:t>
      </w:r>
    </w:p>
    <w:p>
      <w:r>
        <w:t>The knowledge base launch follows a structured 6-week phased workflow spanning from October 26, 2026, to December 6, 2026. This timeline assumes that team members allocate 25% of their working hours to project tasks. Access controls are restricted to authorized support and product team members, and content creation relies on existing product documentation and support ticket history as source material.</w:t>
      </w:r>
    </w:p>
    <w:p>
      <w:pPr>
        <w:keepNext/>
        <w:spacing w:after="60"/>
      </w:pPr>
      <w:r>
        <w:rPr>
          <w:b/>
          <w:color w:val="5F6973"/>
          <w:sz w:val="18"/>
        </w:rPr>
        <w:t>6-Week Phased Workflow and Timeline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shd w:val="clear" w:fill="1F3752"/>
          </w:tcPr>
          <w:p>
            <w:r/>
            <w:r>
              <w:rPr>
                <w:b/>
                <w:color w:val="FFFFFF"/>
                <w:sz w:val="18"/>
              </w:rPr>
              <w:t>Phase Name</w:t>
            </w:r>
          </w:p>
        </w:tc>
        <w:tc>
          <w:tcPr>
            <w:tcW w:type="dxa" w:w="2353"/>
            <w:shd w:val="clear" w:fill="1F3752"/>
          </w:tcPr>
          <w:p>
            <w:r/>
            <w:r>
              <w:rPr>
                <w:b/>
                <w:color w:val="FFFFFF"/>
                <w:sz w:val="18"/>
              </w:rPr>
              <w:t>Start Date</w:t>
            </w:r>
          </w:p>
        </w:tc>
        <w:tc>
          <w:tcPr>
            <w:tcW w:type="dxa" w:w="2353"/>
            <w:shd w:val="clear" w:fill="1F3752"/>
          </w:tcPr>
          <w:p>
            <w:r/>
            <w:r>
              <w:rPr>
                <w:b/>
                <w:color w:val="FFFFFF"/>
                <w:sz w:val="18"/>
              </w:rPr>
              <w:t>End Date</w:t>
            </w:r>
          </w:p>
        </w:tc>
        <w:tc>
          <w:tcPr>
            <w:tcW w:type="dxa" w:w="2353"/>
            <w:shd w:val="clear" w:fill="1F3752"/>
          </w:tcPr>
          <w:p>
            <w:r/>
            <w:r>
              <w:rPr>
                <w:b/>
                <w:color w:val="FFFFFF"/>
                <w:sz w:val="18"/>
              </w:rPr>
              <w:t>Duration</w:t>
            </w:r>
          </w:p>
        </w:tc>
      </w:tr>
      <w:tr>
        <w:trPr>
          <w:cantSplit/>
        </w:trPr>
        <w:tc>
          <w:tcPr>
            <w:tcW w:type="dxa" w:w="2353"/>
          </w:tcPr>
          <w:p>
            <w:pPr>
              <w:spacing w:after="40"/>
            </w:pPr>
            <w:r/>
            <w:r>
              <w:rPr>
                <w:sz w:val="18"/>
              </w:rPr>
              <w:t>Discovery &amp; Tool Setup</w:t>
            </w:r>
          </w:p>
        </w:tc>
        <w:tc>
          <w:tcPr>
            <w:tcW w:type="dxa" w:w="2353"/>
          </w:tcPr>
          <w:p>
            <w:pPr>
              <w:spacing w:after="40"/>
            </w:pPr>
            <w:r/>
            <w:r>
              <w:rPr>
                <w:sz w:val="18"/>
              </w:rPr>
              <w:t>26 Oct 2026</w:t>
            </w:r>
          </w:p>
        </w:tc>
        <w:tc>
          <w:tcPr>
            <w:tcW w:type="dxa" w:w="2353"/>
          </w:tcPr>
          <w:p>
            <w:pPr>
              <w:spacing w:after="40"/>
            </w:pPr>
            <w:r/>
            <w:r>
              <w:rPr>
                <w:sz w:val="18"/>
              </w:rPr>
              <w:t>01 Nov 2026</w:t>
            </w:r>
          </w:p>
        </w:tc>
        <w:tc>
          <w:tcPr>
            <w:tcW w:type="dxa" w:w="2353"/>
          </w:tcPr>
          <w:p>
            <w:pPr>
              <w:spacing w:after="40"/>
            </w:pPr>
            <w:r/>
            <w:r>
              <w:rPr>
                <w:sz w:val="18"/>
              </w:rPr>
              <w:t>1.0 week</w:t>
            </w:r>
          </w:p>
        </w:tc>
      </w:tr>
      <w:tr>
        <w:trPr>
          <w:cantSplit/>
        </w:trPr>
        <w:tc>
          <w:tcPr>
            <w:tcW w:type="dxa" w:w="2353"/>
            <w:shd w:val="clear" w:fill="F2F5F9"/>
          </w:tcPr>
          <w:p>
            <w:pPr>
              <w:spacing w:after="40"/>
            </w:pPr>
            <w:r/>
            <w:r>
              <w:rPr>
                <w:sz w:val="18"/>
              </w:rPr>
              <w:t>Content Audit &amp; Drafting</w:t>
            </w:r>
          </w:p>
        </w:tc>
        <w:tc>
          <w:tcPr>
            <w:tcW w:type="dxa" w:w="2353"/>
            <w:shd w:val="clear" w:fill="F2F5F9"/>
          </w:tcPr>
          <w:p>
            <w:pPr>
              <w:spacing w:after="40"/>
            </w:pPr>
            <w:r/>
            <w:r>
              <w:rPr>
                <w:sz w:val="18"/>
              </w:rPr>
              <w:t>02 Nov 2026</w:t>
            </w:r>
          </w:p>
        </w:tc>
        <w:tc>
          <w:tcPr>
            <w:tcW w:type="dxa" w:w="2353"/>
            <w:shd w:val="clear" w:fill="F2F5F9"/>
          </w:tcPr>
          <w:p>
            <w:pPr>
              <w:spacing w:after="40"/>
            </w:pPr>
            <w:r/>
            <w:r>
              <w:rPr>
                <w:sz w:val="18"/>
              </w:rPr>
              <w:t>15 Nov 2026</w:t>
            </w:r>
          </w:p>
        </w:tc>
        <w:tc>
          <w:tcPr>
            <w:tcW w:type="dxa" w:w="2353"/>
            <w:shd w:val="clear" w:fill="F2F5F9"/>
          </w:tcPr>
          <w:p>
            <w:pPr>
              <w:spacing w:after="40"/>
            </w:pPr>
            <w:r/>
            <w:r>
              <w:rPr>
                <w:sz w:val="18"/>
              </w:rPr>
              <w:t>2.0 weeks</w:t>
            </w:r>
          </w:p>
        </w:tc>
      </w:tr>
      <w:tr>
        <w:trPr>
          <w:cantSplit/>
        </w:trPr>
        <w:tc>
          <w:tcPr>
            <w:tcW w:type="dxa" w:w="2353"/>
          </w:tcPr>
          <w:p>
            <w:pPr>
              <w:spacing w:after="40"/>
            </w:pPr>
            <w:r/>
            <w:r>
              <w:rPr>
                <w:sz w:val="18"/>
              </w:rPr>
              <w:t>Review, Formatting &amp; QA</w:t>
            </w:r>
          </w:p>
        </w:tc>
        <w:tc>
          <w:tcPr>
            <w:tcW w:type="dxa" w:w="2353"/>
          </w:tcPr>
          <w:p>
            <w:pPr>
              <w:spacing w:after="40"/>
            </w:pPr>
            <w:r/>
            <w:r>
              <w:rPr>
                <w:sz w:val="18"/>
              </w:rPr>
              <w:t>16 Nov 2026</w:t>
            </w:r>
          </w:p>
        </w:tc>
        <w:tc>
          <w:tcPr>
            <w:tcW w:type="dxa" w:w="2353"/>
          </w:tcPr>
          <w:p>
            <w:pPr>
              <w:spacing w:after="40"/>
            </w:pPr>
            <w:r/>
            <w:r>
              <w:rPr>
                <w:sz w:val="18"/>
              </w:rPr>
              <w:t>29 Nov 2026</w:t>
            </w:r>
          </w:p>
        </w:tc>
        <w:tc>
          <w:tcPr>
            <w:tcW w:type="dxa" w:w="2353"/>
          </w:tcPr>
          <w:p>
            <w:pPr>
              <w:spacing w:after="40"/>
            </w:pPr>
            <w:r/>
            <w:r>
              <w:rPr>
                <w:sz w:val="18"/>
              </w:rPr>
              <w:t>2.0 weeks</w:t>
            </w:r>
          </w:p>
        </w:tc>
      </w:tr>
      <w:tr>
        <w:trPr>
          <w:cantSplit/>
        </w:trPr>
        <w:tc>
          <w:tcPr>
            <w:tcW w:type="dxa" w:w="2353"/>
            <w:shd w:val="clear" w:fill="F2F5F9"/>
          </w:tcPr>
          <w:p>
            <w:pPr>
              <w:spacing w:after="40"/>
            </w:pPr>
            <w:r/>
            <w:r>
              <w:rPr>
                <w:sz w:val="18"/>
              </w:rPr>
              <w:t>Launch &amp; Post-Launch Monitoring</w:t>
            </w:r>
          </w:p>
        </w:tc>
        <w:tc>
          <w:tcPr>
            <w:tcW w:type="dxa" w:w="2353"/>
            <w:shd w:val="clear" w:fill="F2F5F9"/>
          </w:tcPr>
          <w:p>
            <w:pPr>
              <w:spacing w:after="40"/>
            </w:pPr>
            <w:r/>
            <w:r>
              <w:rPr>
                <w:sz w:val="18"/>
              </w:rPr>
              <w:t>30 Nov 2026</w:t>
            </w:r>
          </w:p>
        </w:tc>
        <w:tc>
          <w:tcPr>
            <w:tcW w:type="dxa" w:w="2353"/>
            <w:shd w:val="clear" w:fill="F2F5F9"/>
          </w:tcPr>
          <w:p>
            <w:pPr>
              <w:spacing w:after="40"/>
            </w:pPr>
            <w:r/>
            <w:r>
              <w:rPr>
                <w:sz w:val="18"/>
              </w:rPr>
              <w:t>06 Dec 2026</w:t>
            </w:r>
          </w:p>
        </w:tc>
        <w:tc>
          <w:tcPr>
            <w:tcW w:type="dxa" w:w="2353"/>
            <w:shd w:val="clear" w:fill="F2F5F9"/>
          </w:tcPr>
          <w:p>
            <w:pPr>
              <w:spacing w:after="40"/>
            </w:pPr>
            <w:r/>
            <w:r>
              <w:rPr>
                <w:sz w:val="18"/>
              </w:rPr>
              <w:t>1.0 week</w:t>
            </w:r>
          </w:p>
        </w:tc>
      </w:tr>
    </w:tbl>
    <w:p>
      <w:pPr>
        <w:spacing w:after="40"/>
      </w:pPr>
    </w:p>
    <w:p>
      <w:pPr>
        <w:pStyle w:val="ListBullet"/>
        <w:spacing w:after="40"/>
      </w:pPr>
      <w:r>
        <w:t>Discovery &amp; Tool Setup: Configure platform permissions and establish taxonomy.</w:t>
      </w:r>
    </w:p>
    <w:p>
      <w:pPr>
        <w:pStyle w:val="ListBullet"/>
        <w:spacing w:after="40"/>
      </w:pPr>
      <w:r>
        <w:t>Content Audit &amp; Drafting: Catalog existing documentation and draft core support articles.</w:t>
      </w:r>
    </w:p>
    <w:p>
      <w:pPr>
        <w:pStyle w:val="ListBullet"/>
        <w:spacing w:after="40"/>
      </w:pPr>
      <w:r>
        <w:t>Review, Formatting &amp; QA: Validate technical accuracy, formatting standards, and link integrity.</w:t>
      </w:r>
    </w:p>
    <w:p>
      <w:pPr>
        <w:pStyle w:val="ListBullet"/>
        <w:spacing w:after="40"/>
      </w:pPr>
      <w:r>
        <w:t>Launch &amp; Post-Launch Monitoring: Deploy the knowledge base publicly and track initial resolution metrics.</w:t>
      </w:r>
    </w:p>
    <w:p>
      <w:pPr>
        <w:pStyle w:val="Heading1"/>
      </w:pPr>
      <w:r>
        <w:t>3. Ownership and Content Management Workflow</w:t>
      </w:r>
    </w:p>
    <w:p>
      <w:r>
        <w:t>To ensure sustainable maintenance of the customer support knowledge base for the 20-person SaaS company, explicit ownership and operational workflows must be established across the team. Content creation and curation rely on existing product documentation and support ticket history as source material, as noted in the project assumptions. The operational framework below defines specific sources, designated owners, monthly review cadences, and update workflows.</w:t>
      </w:r>
    </w:p>
    <w:p>
      <w:pPr>
        <w:keepNext/>
        <w:spacing w:after="60"/>
      </w:pPr>
      <w:r>
        <w:rPr>
          <w:b/>
          <w:color w:val="5F6973"/>
          <w:sz w:val="18"/>
        </w:rPr>
        <w:t>Content Management Ownership and Workflow Matrix (Illustrative)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shd w:val="clear" w:fill="1F3752"/>
          </w:tcPr>
          <w:p>
            <w:r/>
            <w:r>
              <w:rPr>
                <w:b/>
                <w:color w:val="FFFFFF"/>
                <w:sz w:val="18"/>
              </w:rPr>
              <w:t>Content Source</w:t>
            </w:r>
          </w:p>
        </w:tc>
        <w:tc>
          <w:tcPr>
            <w:tcW w:type="dxa" w:w="2353"/>
            <w:shd w:val="clear" w:fill="1F3752"/>
          </w:tcPr>
          <w:p>
            <w:r/>
            <w:r>
              <w:rPr>
                <w:b/>
                <w:color w:val="FFFFFF"/>
                <w:sz w:val="18"/>
              </w:rPr>
              <w:t>Designated Owner</w:t>
            </w:r>
          </w:p>
        </w:tc>
        <w:tc>
          <w:tcPr>
            <w:tcW w:type="dxa" w:w="2353"/>
            <w:shd w:val="clear" w:fill="1F3752"/>
          </w:tcPr>
          <w:p>
            <w:r/>
            <w:r>
              <w:rPr>
                <w:b/>
                <w:color w:val="FFFFFF"/>
                <w:sz w:val="18"/>
              </w:rPr>
              <w:t>Review Cadence</w:t>
            </w:r>
          </w:p>
        </w:tc>
        <w:tc>
          <w:tcPr>
            <w:tcW w:type="dxa" w:w="2353"/>
            <w:shd w:val="clear" w:fill="1F3752"/>
          </w:tcPr>
          <w:p>
            <w:r/>
            <w:r>
              <w:rPr>
                <w:b/>
                <w:color w:val="FFFFFF"/>
                <w:sz w:val="18"/>
              </w:rPr>
              <w:t>Update Workflow</w:t>
            </w:r>
          </w:p>
        </w:tc>
      </w:tr>
      <w:tr>
        <w:trPr>
          <w:cantSplit/>
        </w:trPr>
        <w:tc>
          <w:tcPr>
            <w:tcW w:type="dxa" w:w="2353"/>
          </w:tcPr>
          <w:p>
            <w:pPr>
              <w:spacing w:after="40"/>
            </w:pPr>
            <w:r/>
            <w:r>
              <w:rPr>
                <w:sz w:val="18"/>
              </w:rPr>
              <w:t>Support Ticket History</w:t>
            </w:r>
          </w:p>
        </w:tc>
        <w:tc>
          <w:tcPr>
            <w:tcW w:type="dxa" w:w="2353"/>
          </w:tcPr>
          <w:p>
            <w:pPr>
              <w:spacing w:after="40"/>
            </w:pPr>
            <w:r/>
            <w:r>
              <w:rPr>
                <w:sz w:val="18"/>
              </w:rPr>
              <w:t>Customer Support Lead</w:t>
            </w:r>
          </w:p>
        </w:tc>
        <w:tc>
          <w:tcPr>
            <w:tcW w:type="dxa" w:w="2353"/>
          </w:tcPr>
          <w:p>
            <w:pPr>
              <w:spacing w:after="40"/>
            </w:pPr>
            <w:r/>
            <w:r>
              <w:rPr>
                <w:sz w:val="18"/>
              </w:rPr>
              <w:t>Monthly</w:t>
            </w:r>
          </w:p>
        </w:tc>
        <w:tc>
          <w:tcPr>
            <w:tcW w:type="dxa" w:w="2353"/>
          </w:tcPr>
          <w:p>
            <w:pPr>
              <w:spacing w:after="40"/>
            </w:pPr>
            <w:r/>
            <w:r>
              <w:rPr>
                <w:sz w:val="18"/>
              </w:rPr>
              <w:t>Identify recurring customer issues, draft article, route to Product for technical review, publish.</w:t>
            </w:r>
          </w:p>
        </w:tc>
      </w:tr>
      <w:tr>
        <w:trPr>
          <w:cantSplit/>
        </w:trPr>
        <w:tc>
          <w:tcPr>
            <w:tcW w:type="dxa" w:w="2353"/>
            <w:shd w:val="clear" w:fill="F2F5F9"/>
          </w:tcPr>
          <w:p>
            <w:pPr>
              <w:spacing w:after="40"/>
            </w:pPr>
            <w:r/>
            <w:r>
              <w:rPr>
                <w:sz w:val="18"/>
              </w:rPr>
              <w:t>Product Documentation</w:t>
            </w:r>
          </w:p>
        </w:tc>
        <w:tc>
          <w:tcPr>
            <w:tcW w:type="dxa" w:w="2353"/>
            <w:shd w:val="clear" w:fill="F2F5F9"/>
          </w:tcPr>
          <w:p>
            <w:pPr>
              <w:spacing w:after="40"/>
            </w:pPr>
            <w:r/>
            <w:r>
              <w:rPr>
                <w:sz w:val="18"/>
              </w:rPr>
              <w:t>Product Manager</w:t>
            </w:r>
          </w:p>
        </w:tc>
        <w:tc>
          <w:tcPr>
            <w:tcW w:type="dxa" w:w="2353"/>
            <w:shd w:val="clear" w:fill="F2F5F9"/>
          </w:tcPr>
          <w:p>
            <w:pPr>
              <w:spacing w:after="40"/>
            </w:pPr>
            <w:r/>
            <w:r>
              <w:rPr>
                <w:sz w:val="18"/>
              </w:rPr>
              <w:t>Bi-weekly</w:t>
            </w:r>
          </w:p>
        </w:tc>
        <w:tc>
          <w:tcPr>
            <w:tcW w:type="dxa" w:w="2353"/>
            <w:shd w:val="clear" w:fill="F2F5F9"/>
          </w:tcPr>
          <w:p>
            <w:pPr>
              <w:spacing w:after="40"/>
            </w:pPr>
            <w:r/>
            <w:r>
              <w:rPr>
                <w:sz w:val="18"/>
              </w:rPr>
              <w:t>Review release notes, update core feature articles, notify Support Lead of changes.</w:t>
            </w:r>
          </w:p>
        </w:tc>
      </w:tr>
      <w:tr>
        <w:trPr>
          <w:cantSplit/>
        </w:trPr>
        <w:tc>
          <w:tcPr>
            <w:tcW w:type="dxa" w:w="2353"/>
          </w:tcPr>
          <w:p>
            <w:pPr>
              <w:spacing w:after="40"/>
            </w:pPr>
            <w:r/>
            <w:r>
              <w:rPr>
                <w:sz w:val="18"/>
              </w:rPr>
              <w:t>Billing and Account FAQs</w:t>
            </w:r>
          </w:p>
        </w:tc>
        <w:tc>
          <w:tcPr>
            <w:tcW w:type="dxa" w:w="2353"/>
          </w:tcPr>
          <w:p>
            <w:pPr>
              <w:spacing w:after="40"/>
            </w:pPr>
            <w:r/>
            <w:r>
              <w:rPr>
                <w:sz w:val="18"/>
              </w:rPr>
              <w:t>Operations Lead</w:t>
            </w:r>
          </w:p>
        </w:tc>
        <w:tc>
          <w:tcPr>
            <w:tcW w:type="dxa" w:w="2353"/>
          </w:tcPr>
          <w:p>
            <w:pPr>
              <w:spacing w:after="40"/>
            </w:pPr>
            <w:r/>
            <w:r>
              <w:rPr>
                <w:sz w:val="18"/>
              </w:rPr>
              <w:t>Quarterly</w:t>
            </w:r>
          </w:p>
        </w:tc>
        <w:tc>
          <w:tcPr>
            <w:tcW w:type="dxa" w:w="2353"/>
          </w:tcPr>
          <w:p>
            <w:pPr>
              <w:spacing w:after="40"/>
            </w:pPr>
            <w:r/>
            <w:r>
              <w:rPr>
                <w:sz w:val="18"/>
              </w:rPr>
              <w:t>Verify policy accuracy with finance, update static pages, archive outdated terms.</w:t>
            </w:r>
          </w:p>
        </w:tc>
      </w:tr>
    </w:tbl>
    <w:p>
      <w:pPr>
        <w:spacing w:after="40"/>
      </w:pPr>
    </w:p>
    <w:p>
      <w:pPr>
        <w:pStyle w:val="ListNumber"/>
        <w:spacing w:after="40"/>
      </w:pPr>
      <w:r>
        <w:t>Content Intake: The Customer Support Lead reviews unresolved or frequent support tickets every Monday to identify emerging knowledge gaps.</w:t>
      </w:r>
    </w:p>
    <w:p>
      <w:pPr>
        <w:pStyle w:val="ListNumber"/>
        <w:spacing w:after="40"/>
      </w:pPr>
      <w:r>
        <w:t>Drafting and Review: Owners draft or revise content utilizing the designated templates, ensuring access controls restrict editing to authorized support and product team members.</w:t>
      </w:r>
    </w:p>
    <w:p>
      <w:pPr>
        <w:pStyle w:val="ListNumber"/>
        <w:spacing w:after="40"/>
      </w:pPr>
      <w:r>
        <w:t>Quality Check: Before publication, the Product Manager verifies technical accuracy for any functional claims, and the Support Lead validates tone and clarity.</w:t>
      </w:r>
    </w:p>
    <w:p>
      <w:pPr>
        <w:pStyle w:val="ListNumber"/>
        <w:spacing w:after="40"/>
      </w:pPr>
      <w:r>
        <w:t>Publishing and Archiving: The finalized article is published to the knowledge base, and any deprecated documentation is moved to an archive folder with a redirect link.</w:t>
      </w:r>
    </w:p>
    <w:p>
      <w:pPr>
        <w:pStyle w:val="Heading1"/>
      </w:pPr>
      <w:r>
        <w:t>4. Success Metrics</w:t>
      </w:r>
    </w:p>
    <w:p>
      <w:r>
        <w:t>To evaluate the operational effectiveness and customer adoption of the new knowledge base, we establish a robust framework of quantifiable success metrics. These indicators track pre- and post-launch performance across support efficiency, search efficacy, and overall customer satisfaction. Because historical baseline data was not provided for this proposal, specific numerical targets below are treated as illustrative figures to be calibrated against actual performance during the first thirty days post-launch.</w:t>
      </w:r>
    </w:p>
    <w:p>
      <w:pPr>
        <w:keepNext/>
        <w:spacing w:after="60"/>
      </w:pPr>
      <w:r>
        <w:rPr>
          <w:b/>
          <w:color w:val="5F6973"/>
          <w:sz w:val="18"/>
        </w:rPr>
        <w:t>Post-Launch Success Metrics and Evaluation Framework (Illustrative Targets)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882"/>
            <w:shd w:val="clear" w:fill="1F3752"/>
          </w:tcPr>
          <w:p>
            <w:r/>
            <w:r>
              <w:rPr>
                <w:b/>
                <w:color w:val="FFFFFF"/>
                <w:sz w:val="18"/>
              </w:rPr>
              <w:t>Metric Name</w:t>
            </w:r>
          </w:p>
        </w:tc>
        <w:tc>
          <w:tcPr>
            <w:tcW w:type="dxa" w:w="1882"/>
            <w:shd w:val="clear" w:fill="1F3752"/>
          </w:tcPr>
          <w:p>
            <w:r/>
            <w:r>
              <w:rPr>
                <w:b/>
                <w:color w:val="FFFFFF"/>
                <w:sz w:val="18"/>
              </w:rPr>
              <w:t>Target</w:t>
            </w:r>
          </w:p>
        </w:tc>
        <w:tc>
          <w:tcPr>
            <w:tcW w:type="dxa" w:w="1882"/>
            <w:shd w:val="clear" w:fill="1F3752"/>
          </w:tcPr>
          <w:p>
            <w:r/>
            <w:r>
              <w:rPr>
                <w:b/>
                <w:color w:val="FFFFFF"/>
                <w:sz w:val="18"/>
              </w:rPr>
              <w:t>Measurement Method</w:t>
            </w:r>
          </w:p>
        </w:tc>
        <w:tc>
          <w:tcPr>
            <w:tcW w:type="dxa" w:w="1882"/>
            <w:shd w:val="clear" w:fill="1F3752"/>
          </w:tcPr>
          <w:p>
            <w:r/>
            <w:r>
              <w:rPr>
                <w:b/>
                <w:color w:val="FFFFFF"/>
                <w:sz w:val="18"/>
              </w:rPr>
              <w:t>Owner</w:t>
            </w:r>
          </w:p>
        </w:tc>
        <w:tc>
          <w:tcPr>
            <w:tcW w:type="dxa" w:w="1882"/>
            <w:shd w:val="clear" w:fill="1F3752"/>
          </w:tcPr>
          <w:p>
            <w:r/>
            <w:r>
              <w:rPr>
                <w:b/>
                <w:color w:val="FFFFFF"/>
                <w:sz w:val="18"/>
              </w:rPr>
              <w:t>Review Cadence</w:t>
            </w:r>
          </w:p>
        </w:tc>
      </w:tr>
      <w:tr>
        <w:trPr>
          <w:cantSplit/>
        </w:trPr>
        <w:tc>
          <w:tcPr>
            <w:tcW w:type="dxa" w:w="1882"/>
          </w:tcPr>
          <w:p>
            <w:pPr>
              <w:spacing w:after="40"/>
            </w:pPr>
            <w:r/>
            <w:r>
              <w:rPr>
                <w:sz w:val="18"/>
              </w:rPr>
              <w:t>Ticket Deflection Rate</w:t>
            </w:r>
          </w:p>
        </w:tc>
        <w:tc>
          <w:tcPr>
            <w:tcW w:type="dxa" w:w="1882"/>
          </w:tcPr>
          <w:p>
            <w:pPr>
              <w:spacing w:after="40"/>
            </w:pPr>
            <w:r/>
            <w:r>
              <w:rPr>
                <w:sz w:val="18"/>
              </w:rPr>
              <w:t>15% reduction</w:t>
            </w:r>
          </w:p>
        </w:tc>
        <w:tc>
          <w:tcPr>
            <w:tcW w:type="dxa" w:w="1882"/>
          </w:tcPr>
          <w:p>
            <w:pPr>
              <w:spacing w:after="40"/>
            </w:pPr>
            <w:r/>
            <w:r>
              <w:rPr>
                <w:sz w:val="18"/>
              </w:rPr>
              <w:t>Compare volume of incoming support tickets against active user growth</w:t>
            </w:r>
          </w:p>
        </w:tc>
        <w:tc>
          <w:tcPr>
            <w:tcW w:type="dxa" w:w="1882"/>
          </w:tcPr>
          <w:p>
            <w:pPr>
              <w:spacing w:after="40"/>
            </w:pPr>
            <w:r/>
            <w:r>
              <w:rPr>
                <w:sz w:val="18"/>
              </w:rPr>
              <w:t>Customer Support Lead</w:t>
            </w:r>
          </w:p>
        </w:tc>
        <w:tc>
          <w:tcPr>
            <w:tcW w:type="dxa" w:w="1882"/>
          </w:tcPr>
          <w:p>
            <w:pPr>
              <w:spacing w:after="40"/>
            </w:pPr>
            <w:r/>
            <w:r>
              <w:rPr>
                <w:sz w:val="18"/>
              </w:rPr>
              <w:t>Monthly</w:t>
            </w:r>
          </w:p>
        </w:tc>
      </w:tr>
      <w:tr>
        <w:trPr>
          <w:cantSplit/>
        </w:trPr>
        <w:tc>
          <w:tcPr>
            <w:tcW w:type="dxa" w:w="1882"/>
            <w:shd w:val="clear" w:fill="F2F5F9"/>
          </w:tcPr>
          <w:p>
            <w:pPr>
              <w:spacing w:after="40"/>
            </w:pPr>
            <w:r/>
            <w:r>
              <w:rPr>
                <w:sz w:val="18"/>
              </w:rPr>
              <w:t>Search Success Rate</w:t>
            </w:r>
          </w:p>
        </w:tc>
        <w:tc>
          <w:tcPr>
            <w:tcW w:type="dxa" w:w="1882"/>
            <w:shd w:val="clear" w:fill="F2F5F9"/>
          </w:tcPr>
          <w:p>
            <w:pPr>
              <w:spacing w:after="40"/>
            </w:pPr>
            <w:r/>
            <w:r>
              <w:rPr>
                <w:sz w:val="18"/>
              </w:rPr>
              <w:t>70% resolved</w:t>
            </w:r>
          </w:p>
        </w:tc>
        <w:tc>
          <w:tcPr>
            <w:tcW w:type="dxa" w:w="1882"/>
            <w:shd w:val="clear" w:fill="F2F5F9"/>
          </w:tcPr>
          <w:p>
            <w:pPr>
              <w:spacing w:after="40"/>
            </w:pPr>
            <w:r/>
            <w:r>
              <w:rPr>
                <w:sz w:val="18"/>
              </w:rPr>
              <w:t>Track internal search analytics where queries lead to article views and session end</w:t>
            </w:r>
          </w:p>
        </w:tc>
        <w:tc>
          <w:tcPr>
            <w:tcW w:type="dxa" w:w="1882"/>
            <w:shd w:val="clear" w:fill="F2F5F9"/>
          </w:tcPr>
          <w:p>
            <w:pPr>
              <w:spacing w:after="40"/>
            </w:pPr>
            <w:r/>
            <w:r>
              <w:rPr>
                <w:sz w:val="18"/>
              </w:rPr>
              <w:t>Product Manager</w:t>
            </w:r>
          </w:p>
        </w:tc>
        <w:tc>
          <w:tcPr>
            <w:tcW w:type="dxa" w:w="1882"/>
            <w:shd w:val="clear" w:fill="F2F5F9"/>
          </w:tcPr>
          <w:p>
            <w:pPr>
              <w:spacing w:after="40"/>
            </w:pPr>
            <w:r/>
            <w:r>
              <w:rPr>
                <w:sz w:val="18"/>
              </w:rPr>
              <w:t>Bi-weekly</w:t>
            </w:r>
          </w:p>
        </w:tc>
      </w:tr>
      <w:tr>
        <w:trPr>
          <w:cantSplit/>
        </w:trPr>
        <w:tc>
          <w:tcPr>
            <w:tcW w:type="dxa" w:w="1882"/>
          </w:tcPr>
          <w:p>
            <w:pPr>
              <w:spacing w:after="40"/>
            </w:pPr>
            <w:r/>
            <w:r>
              <w:rPr>
                <w:sz w:val="18"/>
              </w:rPr>
              <w:t>CSAT Impact</w:t>
            </w:r>
          </w:p>
        </w:tc>
        <w:tc>
          <w:tcPr>
            <w:tcW w:type="dxa" w:w="1882"/>
          </w:tcPr>
          <w:p>
            <w:pPr>
              <w:spacing w:after="40"/>
            </w:pPr>
            <w:r/>
            <w:r>
              <w:rPr>
                <w:sz w:val="18"/>
              </w:rPr>
              <w:t>85% positive</w:t>
            </w:r>
          </w:p>
        </w:tc>
        <w:tc>
          <w:tcPr>
            <w:tcW w:type="dxa" w:w="1882"/>
          </w:tcPr>
          <w:p>
            <w:pPr>
              <w:spacing w:after="40"/>
            </w:pPr>
            <w:r/>
            <w:r>
              <w:rPr>
                <w:sz w:val="18"/>
              </w:rPr>
              <w:t>Survey ratings specifically attached to knowledge base article resolution prompts</w:t>
            </w:r>
          </w:p>
        </w:tc>
        <w:tc>
          <w:tcPr>
            <w:tcW w:type="dxa" w:w="1882"/>
          </w:tcPr>
          <w:p>
            <w:pPr>
              <w:spacing w:after="40"/>
            </w:pPr>
            <w:r/>
            <w:r>
              <w:rPr>
                <w:sz w:val="18"/>
              </w:rPr>
              <w:t>Customer Support Lead</w:t>
            </w:r>
          </w:p>
        </w:tc>
        <w:tc>
          <w:tcPr>
            <w:tcW w:type="dxa" w:w="1882"/>
          </w:tcPr>
          <w:p>
            <w:pPr>
              <w:spacing w:after="40"/>
            </w:pPr>
            <w:r/>
            <w:r>
              <w:rPr>
                <w:sz w:val="18"/>
              </w:rPr>
              <w:t>Monthly</w:t>
            </w:r>
          </w:p>
        </w:tc>
      </w:tr>
    </w:tbl>
    <w:p>
      <w:pPr>
        <w:spacing w:after="40"/>
      </w:pPr>
    </w:p>
    <w:p>
      <w:pPr>
        <w:pStyle w:val="ListBullet"/>
        <w:spacing w:after="40"/>
      </w:pPr>
      <w:r>
        <w:t>Data collection relies on automated reports generated by the knowledge base platform and ticketing system.</w:t>
      </w:r>
    </w:p>
    <w:p>
      <w:pPr>
        <w:pStyle w:val="ListBullet"/>
        <w:spacing w:after="40"/>
      </w:pPr>
      <w:r>
        <w:t>Monthly reviews will be conducted by the project team to identify content gaps whenever search success rates drop below the target threshold.</w:t>
      </w:r>
    </w:p>
    <w:p>
      <w:pPr>
        <w:pStyle w:val="ListBullet"/>
        <w:spacing w:after="40"/>
      </w:pPr>
      <w:r>
        <w:t>Unresolved search queries will be audited weekly to generate new article requirements.</w:t>
      </w:r>
    </w:p>
    <w:p>
      <w:pPr>
        <w:pStyle w:val="Heading1"/>
      </w:pPr>
      <w:r>
        <w:t>5. Risk Management</w:t>
      </w:r>
    </w:p>
    <w:p>
      <w:r>
        <w:t>To ensure the 6-week knowledge base launch succeeds for our 20-person SaaS company, we have identified and evaluated key operational risks. Risk scores are calculated using the formula score equals likelihood multiplied by impact on a scale from 1 to 25, where Low is 4 or less, Medium is 5 to 9, High is 10 to 16, and Critical is above 16 based on authoritative risk analysis tools.</w:t>
      </w:r>
    </w:p>
    <w:p>
      <w:pPr>
        <w:keepNext/>
        <w:spacing w:after="60"/>
      </w:pPr>
      <w:r>
        <w:rPr>
          <w:b/>
          <w:color w:val="5F6973"/>
          <w:sz w:val="18"/>
        </w:rPr>
        <w:t>Project Risk Register and Mitigation Strategies</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cantSplit/>
        </w:trPr>
        <w:tc>
          <w:tcPr>
            <w:tcW w:type="dxa" w:w="1569"/>
            <w:shd w:val="clear" w:fill="1F3752"/>
          </w:tcPr>
          <w:p>
            <w:r/>
            <w:r>
              <w:rPr>
                <w:b/>
                <w:color w:val="FFFFFF"/>
                <w:sz w:val="18"/>
              </w:rPr>
              <w:t>Risk Description</w:t>
            </w:r>
          </w:p>
        </w:tc>
        <w:tc>
          <w:tcPr>
            <w:tcW w:type="dxa" w:w="1569"/>
            <w:shd w:val="clear" w:fill="1F3752"/>
          </w:tcPr>
          <w:p>
            <w:r/>
            <w:r>
              <w:rPr>
                <w:b/>
                <w:color w:val="FFFFFF"/>
                <w:sz w:val="18"/>
              </w:rPr>
              <w:t>Likelihood</w:t>
            </w:r>
          </w:p>
        </w:tc>
        <w:tc>
          <w:tcPr>
            <w:tcW w:type="dxa" w:w="1569"/>
            <w:shd w:val="clear" w:fill="1F3752"/>
          </w:tcPr>
          <w:p>
            <w:r/>
            <w:r>
              <w:rPr>
                <w:b/>
                <w:color w:val="FFFFFF"/>
                <w:sz w:val="18"/>
              </w:rPr>
              <w:t>Impact</w:t>
            </w:r>
          </w:p>
        </w:tc>
        <w:tc>
          <w:tcPr>
            <w:tcW w:type="dxa" w:w="1569"/>
            <w:shd w:val="clear" w:fill="1F3752"/>
          </w:tcPr>
          <w:p>
            <w:r/>
            <w:r>
              <w:rPr>
                <w:b/>
                <w:color w:val="FFFFFF"/>
                <w:sz w:val="18"/>
              </w:rPr>
              <w:t>Score</w:t>
            </w:r>
          </w:p>
        </w:tc>
        <w:tc>
          <w:tcPr>
            <w:tcW w:type="dxa" w:w="1569"/>
            <w:shd w:val="clear" w:fill="1F3752"/>
          </w:tcPr>
          <w:p>
            <w:r/>
            <w:r>
              <w:rPr>
                <w:b/>
                <w:color w:val="FFFFFF"/>
                <w:sz w:val="18"/>
              </w:rPr>
              <w:t>Rating</w:t>
            </w:r>
          </w:p>
        </w:tc>
        <w:tc>
          <w:tcPr>
            <w:tcW w:type="dxa" w:w="1569"/>
            <w:shd w:val="clear" w:fill="1F3752"/>
          </w:tcPr>
          <w:p>
            <w:r/>
            <w:r>
              <w:rPr>
                <w:b/>
                <w:color w:val="FFFFFF"/>
                <w:sz w:val="18"/>
              </w:rPr>
              <w:t>Mitigation Strategy and Owner</w:t>
            </w:r>
          </w:p>
        </w:tc>
      </w:tr>
      <w:tr>
        <w:trPr>
          <w:cantSplit/>
        </w:trPr>
        <w:tc>
          <w:tcPr>
            <w:tcW w:type="dxa" w:w="1569"/>
          </w:tcPr>
          <w:p>
            <w:pPr>
              <w:spacing w:after="40"/>
            </w:pPr>
            <w:r/>
            <w:r>
              <w:rPr>
                <w:sz w:val="18"/>
              </w:rPr>
              <w:t>Low team adoption of the content update workflow</w:t>
            </w:r>
          </w:p>
        </w:tc>
        <w:tc>
          <w:tcPr>
            <w:tcW w:type="dxa" w:w="1569"/>
          </w:tcPr>
          <w:p>
            <w:pPr>
              <w:spacing w:after="40"/>
            </w:pPr>
            <w:r/>
            <w:r>
              <w:rPr>
                <w:sz w:val="18"/>
              </w:rPr>
              <w:t>3</w:t>
            </w:r>
          </w:p>
        </w:tc>
        <w:tc>
          <w:tcPr>
            <w:tcW w:type="dxa" w:w="1569"/>
          </w:tcPr>
          <w:p>
            <w:pPr>
              <w:spacing w:after="40"/>
            </w:pPr>
            <w:r/>
            <w:r>
              <w:rPr>
                <w:sz w:val="18"/>
              </w:rPr>
              <w:t>4</w:t>
            </w:r>
          </w:p>
        </w:tc>
        <w:tc>
          <w:tcPr>
            <w:tcW w:type="dxa" w:w="1569"/>
          </w:tcPr>
          <w:p>
            <w:pPr>
              <w:spacing w:after="40"/>
            </w:pPr>
            <w:r/>
            <w:r>
              <w:rPr>
                <w:sz w:val="18"/>
              </w:rPr>
              <w:t>12</w:t>
            </w:r>
          </w:p>
        </w:tc>
        <w:tc>
          <w:tcPr>
            <w:tcW w:type="dxa" w:w="1569"/>
          </w:tcPr>
          <w:p>
            <w:pPr>
              <w:spacing w:after="40"/>
            </w:pPr>
            <w:r/>
            <w:r>
              <w:rPr>
                <w:sz w:val="18"/>
              </w:rPr>
              <w:t>High</w:t>
            </w:r>
          </w:p>
        </w:tc>
        <w:tc>
          <w:tcPr>
            <w:tcW w:type="dxa" w:w="1569"/>
          </w:tcPr>
          <w:p>
            <w:pPr>
              <w:spacing w:after="40"/>
            </w:pPr>
            <w:r/>
            <w:r>
              <w:rPr>
                <w:sz w:val="18"/>
              </w:rPr>
              <w:t>Mandate workflow training during week 3 and tie update metrics to weekly support reviews; Owner: Support Lead.</w:t>
            </w:r>
          </w:p>
        </w:tc>
      </w:tr>
      <w:tr>
        <w:trPr>
          <w:cantSplit/>
        </w:trPr>
        <w:tc>
          <w:tcPr>
            <w:tcW w:type="dxa" w:w="1569"/>
            <w:shd w:val="clear" w:fill="F2F5F9"/>
          </w:tcPr>
          <w:p>
            <w:pPr>
              <w:spacing w:after="40"/>
            </w:pPr>
            <w:r/>
            <w:r>
              <w:rPr>
                <w:sz w:val="18"/>
              </w:rPr>
              <w:t>Delayed content delivery due to competing support ticket volumes</w:t>
            </w:r>
          </w:p>
        </w:tc>
        <w:tc>
          <w:tcPr>
            <w:tcW w:type="dxa" w:w="1569"/>
            <w:shd w:val="clear" w:fill="F2F5F9"/>
          </w:tcPr>
          <w:p>
            <w:pPr>
              <w:spacing w:after="40"/>
            </w:pPr>
            <w:r/>
            <w:r>
              <w:rPr>
                <w:sz w:val="18"/>
              </w:rPr>
              <w:t>4</w:t>
            </w:r>
          </w:p>
        </w:tc>
        <w:tc>
          <w:tcPr>
            <w:tcW w:type="dxa" w:w="1569"/>
            <w:shd w:val="clear" w:fill="F2F5F9"/>
          </w:tcPr>
          <w:p>
            <w:pPr>
              <w:spacing w:after="40"/>
            </w:pPr>
            <w:r/>
            <w:r>
              <w:rPr>
                <w:sz w:val="18"/>
              </w:rPr>
              <w:t>3</w:t>
            </w:r>
          </w:p>
        </w:tc>
        <w:tc>
          <w:tcPr>
            <w:tcW w:type="dxa" w:w="1569"/>
            <w:shd w:val="clear" w:fill="F2F5F9"/>
          </w:tcPr>
          <w:p>
            <w:pPr>
              <w:spacing w:after="40"/>
            </w:pPr>
            <w:r/>
            <w:r>
              <w:rPr>
                <w:sz w:val="18"/>
              </w:rPr>
              <w:t>12</w:t>
            </w:r>
          </w:p>
        </w:tc>
        <w:tc>
          <w:tcPr>
            <w:tcW w:type="dxa" w:w="1569"/>
            <w:shd w:val="clear" w:fill="F2F5F9"/>
          </w:tcPr>
          <w:p>
            <w:pPr>
              <w:spacing w:after="40"/>
            </w:pPr>
            <w:r/>
            <w:r>
              <w:rPr>
                <w:sz w:val="18"/>
              </w:rPr>
              <w:t>High</w:t>
            </w:r>
          </w:p>
        </w:tc>
        <w:tc>
          <w:tcPr>
            <w:tcW w:type="dxa" w:w="1569"/>
            <w:shd w:val="clear" w:fill="F2F5F9"/>
          </w:tcPr>
          <w:p>
            <w:pPr>
              <w:spacing w:after="40"/>
            </w:pPr>
            <w:r/>
            <w:r>
              <w:rPr>
                <w:sz w:val="18"/>
              </w:rPr>
              <w:t>Enforce the 25 percent time allocation rule and defer non-critical ticket responses during peak writing sprints; Owner: Operations Manager.</w:t>
            </w:r>
          </w:p>
        </w:tc>
      </w:tr>
      <w:tr>
        <w:trPr>
          <w:cantSplit/>
        </w:trPr>
        <w:tc>
          <w:tcPr>
            <w:tcW w:type="dxa" w:w="1569"/>
          </w:tcPr>
          <w:p>
            <w:pPr>
              <w:spacing w:after="40"/>
            </w:pPr>
            <w:r/>
            <w:r>
              <w:rPr>
                <w:sz w:val="18"/>
              </w:rPr>
              <w:t>Outdated technical documentation used as source material</w:t>
            </w:r>
          </w:p>
        </w:tc>
        <w:tc>
          <w:tcPr>
            <w:tcW w:type="dxa" w:w="1569"/>
          </w:tcPr>
          <w:p>
            <w:pPr>
              <w:spacing w:after="40"/>
            </w:pPr>
            <w:r/>
            <w:r>
              <w:rPr>
                <w:sz w:val="18"/>
              </w:rPr>
              <w:t>2</w:t>
            </w:r>
          </w:p>
        </w:tc>
        <w:tc>
          <w:tcPr>
            <w:tcW w:type="dxa" w:w="1569"/>
          </w:tcPr>
          <w:p>
            <w:pPr>
              <w:spacing w:after="40"/>
            </w:pPr>
            <w:r/>
            <w:r>
              <w:rPr>
                <w:sz w:val="18"/>
              </w:rPr>
              <w:t>4</w:t>
            </w:r>
          </w:p>
        </w:tc>
        <w:tc>
          <w:tcPr>
            <w:tcW w:type="dxa" w:w="1569"/>
          </w:tcPr>
          <w:p>
            <w:pPr>
              <w:spacing w:after="40"/>
            </w:pPr>
            <w:r/>
            <w:r>
              <w:rPr>
                <w:sz w:val="18"/>
              </w:rPr>
              <w:t>8</w:t>
            </w:r>
          </w:p>
        </w:tc>
        <w:tc>
          <w:tcPr>
            <w:tcW w:type="dxa" w:w="1569"/>
          </w:tcPr>
          <w:p>
            <w:pPr>
              <w:spacing w:after="40"/>
            </w:pPr>
            <w:r/>
            <w:r>
              <w:rPr>
                <w:sz w:val="18"/>
              </w:rPr>
              <w:t>Medium</w:t>
            </w:r>
          </w:p>
        </w:tc>
        <w:tc>
          <w:tcPr>
            <w:tcW w:type="dxa" w:w="1569"/>
          </w:tcPr>
          <w:p>
            <w:pPr>
              <w:spacing w:after="40"/>
            </w:pPr>
            <w:r/>
            <w:r>
              <w:rPr>
                <w:sz w:val="18"/>
              </w:rPr>
              <w:t>Require product team review sign-off for all drafted articles before final publishing; Owner: Product Manager.</w:t>
            </w:r>
          </w:p>
        </w:tc>
      </w:tr>
    </w:tbl>
    <w:p>
      <w:pPr>
        <w:spacing w:after="40"/>
      </w:pPr>
    </w:p>
    <w:p>
      <w:r>
        <w:t>Each risk owner is responsible for conducting bi-weekly checks against these thresholds during the 6-week execution window. Measurable evidence of risk control includes completion logs for workflow training, adherence to the 25 percent capacity allocation, and documented product sign-offs on all source materials.</w:t>
      </w:r>
    </w:p>
    <w:p>
      <w:pPr>
        <w:pStyle w:val="Heading1"/>
      </w:pPr>
      <w:r>
        <w:t>6. Executive Summary</w:t>
      </w:r>
    </w:p>
    <w:p>
      <w:r>
        <w:t>This executive summary synthesizes the operational strategy for launching a customer support knowledge base for a 20-person SaaS company over a 6-week execution window running from October 26, 2026, to December 6, 2026. Designed to address recurring support bottlenecks, the initiative targets a 20 percent reduction in inbound support tickets and improved first-response times. To maintain practical delivery within the constrained timeline, scope is strictly limited to the top 50 support articles, documentation migration, and role-based access controls, while multilingual translations and community forums remain out of scope for the initial release.</w:t>
      </w:r>
    </w:p>
    <w:p>
      <w:r>
        <w:t>Execution is governed across defined phased workflows, assigning direct accountability for content creation and review to the Customer Support Lead utilizing existing product documentation and support ticket history. Access controls restrict knowledge base management strictly to authorized support and product team members. Success is measured through tracking ticket deflection, search success, and customer satisfaction impact, with quantitative targets treated as illustrative pending baseline data collection. Major project risks are actively mitigated through assigned risk owners, bi-weekly checks, and verified training logs and product sign-offs, ensuring a controlled and sustainable launch.</w:t>
      </w:r>
    </w:p>
    <w:p>
      <w:pPr>
        <w:keepNext/>
        <w:spacing w:after="60"/>
      </w:pPr>
      <w:r>
        <w:rPr>
          <w:b/>
          <w:color w:val="5F6973"/>
          <w:sz w:val="18"/>
        </w:rPr>
        <w:t>Project Plan Summary Overview</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3137"/>
            <w:shd w:val="clear" w:fill="1F3752"/>
          </w:tcPr>
          <w:p>
            <w:r/>
            <w:r>
              <w:rPr>
                <w:b/>
                <w:color w:val="FFFFFF"/>
                <w:sz w:val="18"/>
              </w:rPr>
              <w:t>Plan Component</w:t>
            </w:r>
          </w:p>
        </w:tc>
        <w:tc>
          <w:tcPr>
            <w:tcW w:type="dxa" w:w="3137"/>
            <w:shd w:val="clear" w:fill="1F3752"/>
          </w:tcPr>
          <w:p>
            <w:r/>
            <w:r>
              <w:rPr>
                <w:b/>
                <w:color w:val="FFFFFF"/>
                <w:sz w:val="18"/>
              </w:rPr>
              <w:t>Summary Details</w:t>
            </w:r>
          </w:p>
        </w:tc>
        <w:tc>
          <w:tcPr>
            <w:tcW w:type="dxa" w:w="3137"/>
            <w:shd w:val="clear" w:fill="1F3752"/>
          </w:tcPr>
          <w:p>
            <w:r/>
            <w:r>
              <w:rPr>
                <w:b/>
                <w:color w:val="FFFFFF"/>
                <w:sz w:val="18"/>
              </w:rPr>
              <w:t>Owner / Responsibility</w:t>
            </w:r>
          </w:p>
        </w:tc>
      </w:tr>
      <w:tr>
        <w:trPr>
          <w:cantSplit/>
        </w:trPr>
        <w:tc>
          <w:tcPr>
            <w:tcW w:type="dxa" w:w="3137"/>
          </w:tcPr>
          <w:p>
            <w:pPr>
              <w:spacing w:after="40"/>
            </w:pPr>
            <w:r/>
            <w:r>
              <w:rPr>
                <w:sz w:val="18"/>
              </w:rPr>
              <w:t>Objectives and Scope</w:t>
            </w:r>
          </w:p>
        </w:tc>
        <w:tc>
          <w:tcPr>
            <w:tcW w:type="dxa" w:w="3137"/>
          </w:tcPr>
          <w:p>
            <w:pPr>
              <w:spacing w:after="40"/>
            </w:pPr>
            <w:r/>
            <w:r>
              <w:rPr>
                <w:sz w:val="18"/>
              </w:rPr>
              <w:t>Top 50 articles, documentation migration, role-based access controls; targeting 20 percent ticket reduction</w:t>
            </w:r>
          </w:p>
        </w:tc>
        <w:tc>
          <w:tcPr>
            <w:tcW w:type="dxa" w:w="3137"/>
          </w:tcPr>
          <w:p>
            <w:pPr>
              <w:spacing w:after="40"/>
            </w:pPr>
            <w:r/>
            <w:r>
              <w:rPr>
                <w:sz w:val="18"/>
              </w:rPr>
              <w:t>Customer Support Lead</w:t>
            </w:r>
          </w:p>
        </w:tc>
      </w:tr>
      <w:tr>
        <w:trPr>
          <w:cantSplit/>
        </w:trPr>
        <w:tc>
          <w:tcPr>
            <w:tcW w:type="dxa" w:w="3137"/>
            <w:shd w:val="clear" w:fill="F2F5F9"/>
          </w:tcPr>
          <w:p>
            <w:pPr>
              <w:spacing w:after="40"/>
            </w:pPr>
            <w:r/>
            <w:r>
              <w:rPr>
                <w:sz w:val="18"/>
              </w:rPr>
              <w:t>Timeline and Workflow</w:t>
            </w:r>
          </w:p>
        </w:tc>
        <w:tc>
          <w:tcPr>
            <w:tcW w:type="dxa" w:w="3137"/>
            <w:shd w:val="clear" w:fill="F2F5F9"/>
          </w:tcPr>
          <w:p>
            <w:pPr>
              <w:spacing w:after="40"/>
            </w:pPr>
            <w:r/>
            <w:r>
              <w:rPr>
                <w:sz w:val="18"/>
              </w:rPr>
              <w:t>6-week execution from October 26, 2026, through December 6, 2026</w:t>
            </w:r>
          </w:p>
        </w:tc>
        <w:tc>
          <w:tcPr>
            <w:tcW w:type="dxa" w:w="3137"/>
            <w:shd w:val="clear" w:fill="F2F5F9"/>
          </w:tcPr>
          <w:p>
            <w:pPr>
              <w:spacing w:after="40"/>
            </w:pPr>
            <w:r/>
            <w:r>
              <w:rPr>
                <w:sz w:val="18"/>
              </w:rPr>
              <w:t>Project Team (25% allocated hours)</w:t>
            </w:r>
          </w:p>
        </w:tc>
      </w:tr>
      <w:tr>
        <w:trPr>
          <w:cantSplit/>
        </w:trPr>
        <w:tc>
          <w:tcPr>
            <w:tcW w:type="dxa" w:w="3137"/>
          </w:tcPr>
          <w:p>
            <w:pPr>
              <w:spacing w:after="40"/>
            </w:pPr>
            <w:r/>
            <w:r>
              <w:rPr>
                <w:sz w:val="18"/>
              </w:rPr>
              <w:t>Metrics and Governance</w:t>
            </w:r>
          </w:p>
        </w:tc>
        <w:tc>
          <w:tcPr>
            <w:tcW w:type="dxa" w:w="3137"/>
          </w:tcPr>
          <w:p>
            <w:pPr>
              <w:spacing w:after="40"/>
            </w:pPr>
            <w:r/>
            <w:r>
              <w:rPr>
                <w:sz w:val="18"/>
              </w:rPr>
              <w:t>Ticket deflection, search success, CSAT impact; monthly review cadence</w:t>
            </w:r>
          </w:p>
        </w:tc>
        <w:tc>
          <w:tcPr>
            <w:tcW w:type="dxa" w:w="3137"/>
          </w:tcPr>
          <w:p>
            <w:pPr>
              <w:spacing w:after="40"/>
            </w:pPr>
            <w:r/>
            <w:r>
              <w:rPr>
                <w:sz w:val="18"/>
              </w:rPr>
              <w:t>Customer Support Lead and Product Manager</w:t>
            </w:r>
          </w:p>
        </w:tc>
      </w:tr>
      <w:tr>
        <w:trPr>
          <w:cantSplit/>
        </w:trPr>
        <w:tc>
          <w:tcPr>
            <w:tcW w:type="dxa" w:w="3137"/>
            <w:shd w:val="clear" w:fill="F2F5F9"/>
          </w:tcPr>
          <w:p>
            <w:pPr>
              <w:spacing w:after="40"/>
            </w:pPr>
            <w:r/>
            <w:r>
              <w:rPr>
                <w:sz w:val="18"/>
              </w:rPr>
              <w:t>Risk Management</w:t>
            </w:r>
          </w:p>
        </w:tc>
        <w:tc>
          <w:tcPr>
            <w:tcW w:type="dxa" w:w="3137"/>
            <w:shd w:val="clear" w:fill="F2F5F9"/>
          </w:tcPr>
          <w:p>
            <w:pPr>
              <w:spacing w:after="40"/>
            </w:pPr>
            <w:r/>
            <w:r>
              <w:rPr>
                <w:sz w:val="18"/>
              </w:rPr>
              <w:t>Mitigation of primary project risks via bi-weekly checks and sign-offs</w:t>
            </w:r>
          </w:p>
        </w:tc>
        <w:tc>
          <w:tcPr>
            <w:tcW w:type="dxa" w:w="3137"/>
            <w:shd w:val="clear" w:fill="F2F5F9"/>
          </w:tcPr>
          <w:p>
            <w:pPr>
              <w:spacing w:after="40"/>
            </w:pPr>
            <w:r/>
            <w:r>
              <w:rPr>
                <w:sz w:val="18"/>
              </w:rPr>
              <w:t>Assigned Risk Owners</w:t>
            </w:r>
          </w:p>
        </w:tc>
      </w:tr>
    </w:tbl>
    <w:p>
      <w:pPr>
        <w:spacing w:after="40"/>
      </w:pPr>
    </w:p>
    <w:p>
      <w:r>
        <w:br w:type="page"/>
      </w:r>
    </w:p>
    <w:p>
      <w:pPr>
        <w:pStyle w:val="Heading1"/>
      </w:pPr>
      <w:r>
        <w:t>Appendix A: Agent execution plan</w:t>
      </w:r>
    </w:p>
    <w:p>
      <w:r>
        <w:t>Plan source: llm. Tasks with no dependencies ran in parallel; each task is traced to the requirements it satisfies.</w:t>
      </w:r>
    </w:p>
    <w:tbl>
      <w:tblPr>
        <w:tblStyle w:val="TableGrid"/>
        <w:tblW w:type="auto" w:w="0"/>
        <w:jc w:val="center"/>
        <w:tblLayout w:type="fixed"/>
        <w:tblLook w:firstColumn="1" w:firstRow="1" w:lastColumn="0" w:lastRow="0" w:noHBand="0" w:noVBand="1" w:val="04A0"/>
      </w:tblPr>
      <w:tblGrid>
        <w:gridCol w:w="624"/>
        <w:gridCol w:w="3175"/>
        <w:gridCol w:w="1361"/>
        <w:gridCol w:w="1474"/>
        <w:gridCol w:w="1701"/>
        <w:gridCol w:w="1134"/>
      </w:tblGrid>
      <w:tr>
        <w:trPr>
          <w:tblHeader/>
          <w:cantSplit/>
        </w:trPr>
        <w:tc>
          <w:tcPr>
            <w:tcW w:type="dxa" w:w="624"/>
            <w:shd w:val="clear" w:fill="1F3752"/>
          </w:tcPr>
          <w:p>
            <w:r/>
            <w:r>
              <w:rPr>
                <w:b/>
                <w:color w:val="FFFFFF"/>
                <w:sz w:val="18"/>
              </w:rPr>
              <w:t>ID</w:t>
            </w:r>
          </w:p>
        </w:tc>
        <w:tc>
          <w:tcPr>
            <w:tcW w:type="dxa" w:w="3175"/>
            <w:shd w:val="clear" w:fill="1F3752"/>
          </w:tcPr>
          <w:p>
            <w:r/>
            <w:r>
              <w:rPr>
                <w:b/>
                <w:color w:val="FFFFFF"/>
                <w:sz w:val="18"/>
              </w:rPr>
              <w:t>Task</w:t>
            </w:r>
          </w:p>
        </w:tc>
        <w:tc>
          <w:tcPr>
            <w:tcW w:type="dxa" w:w="1361"/>
            <w:shd w:val="clear" w:fill="1F3752"/>
          </w:tcPr>
          <w:p>
            <w:r/>
            <w:r>
              <w:rPr>
                <w:b/>
                <w:color w:val="FFFFFF"/>
                <w:sz w:val="18"/>
              </w:rPr>
              <w:t>Depends on</w:t>
            </w:r>
          </w:p>
        </w:tc>
        <w:tc>
          <w:tcPr>
            <w:tcW w:type="dxa" w:w="1474"/>
            <w:shd w:val="clear" w:fill="1F3752"/>
          </w:tcPr>
          <w:p>
            <w:r/>
            <w:r>
              <w:rPr>
                <w:b/>
                <w:color w:val="FFFFFF"/>
                <w:sz w:val="18"/>
              </w:rPr>
              <w:t>Requirements</w:t>
            </w:r>
          </w:p>
        </w:tc>
        <w:tc>
          <w:tcPr>
            <w:tcW w:type="dxa" w:w="1701"/>
            <w:shd w:val="clear" w:fill="1F3752"/>
          </w:tcPr>
          <w:p>
            <w:r/>
            <w:r>
              <w:rPr>
                <w:b/>
                <w:color w:val="FFFFFF"/>
                <w:sz w:val="18"/>
              </w:rPr>
              <w:t>Tools</w:t>
            </w:r>
          </w:p>
        </w:tc>
        <w:tc>
          <w:tcPr>
            <w:tcW w:type="dxa" w:w="1134"/>
            <w:shd w:val="clear" w:fill="1F3752"/>
          </w:tcPr>
          <w:p>
            <w:r/>
            <w:r>
              <w:rPr>
                <w:b/>
                <w:color w:val="FFFFFF"/>
                <w:sz w:val="18"/>
              </w:rPr>
              <w:t>Status</w:t>
            </w:r>
          </w:p>
        </w:tc>
      </w:tr>
      <w:tr>
        <w:trPr>
          <w:cantSplit/>
        </w:trPr>
        <w:tc>
          <w:tcPr>
            <w:tcW w:type="dxa" w:w="624"/>
          </w:tcPr>
          <w:p>
            <w:pPr>
              <w:spacing w:after="40"/>
            </w:pPr>
            <w:r/>
            <w:r>
              <w:rPr>
                <w:sz w:val="18"/>
              </w:rPr>
              <w:t>T1</w:t>
            </w:r>
          </w:p>
        </w:tc>
        <w:tc>
          <w:tcPr>
            <w:tcW w:type="dxa" w:w="3175"/>
          </w:tcPr>
          <w:p>
            <w:pPr>
              <w:spacing w:after="40"/>
            </w:pPr>
            <w:r/>
            <w:r>
              <w:rPr>
                <w:sz w:val="18"/>
              </w:rPr>
              <w:t>Define Objectives and Scope</w:t>
            </w:r>
          </w:p>
        </w:tc>
        <w:tc>
          <w:tcPr>
            <w:tcW w:type="dxa" w:w="1361"/>
          </w:tcPr>
          <w:p>
            <w:pPr>
              <w:spacing w:after="40"/>
            </w:pPr>
            <w:r/>
            <w:r>
              <w:rPr>
                <w:sz w:val="18"/>
              </w:rPr>
              <w:t>-</w:t>
            </w:r>
          </w:p>
        </w:tc>
        <w:tc>
          <w:tcPr>
            <w:tcW w:type="dxa" w:w="1474"/>
          </w:tcPr>
          <w:p>
            <w:pPr>
              <w:spacing w:after="40"/>
            </w:pPr>
            <w:r/>
            <w:r>
              <w:rPr>
                <w:sz w:val="18"/>
              </w:rPr>
              <w:t>R1</w:t>
            </w:r>
          </w:p>
        </w:tc>
        <w:tc>
          <w:tcPr>
            <w:tcW w:type="dxa" w:w="1701"/>
          </w:tcPr>
          <w:p>
            <w:pPr>
              <w:spacing w:after="40"/>
            </w:pPr>
            <w:r/>
            <w:r>
              <w:rPr>
                <w:sz w:val="18"/>
              </w:rPr>
              <w:t>-</w:t>
            </w:r>
          </w:p>
        </w:tc>
        <w:tc>
          <w:tcPr>
            <w:tcW w:type="dxa" w:w="1134"/>
          </w:tcPr>
          <w:p>
            <w:pPr>
              <w:spacing w:after="40"/>
            </w:pPr>
            <w:r/>
            <w:r>
              <w:rPr>
                <w:sz w:val="18"/>
              </w:rPr>
              <w:t>completed</w:t>
            </w:r>
          </w:p>
        </w:tc>
      </w:tr>
      <w:tr>
        <w:trPr>
          <w:cantSplit/>
        </w:trPr>
        <w:tc>
          <w:tcPr>
            <w:tcW w:type="dxa" w:w="624"/>
            <w:shd w:val="clear" w:fill="F2F5F9"/>
          </w:tcPr>
          <w:p>
            <w:pPr>
              <w:spacing w:after="40"/>
            </w:pPr>
            <w:r/>
            <w:r>
              <w:rPr>
                <w:sz w:val="18"/>
              </w:rPr>
              <w:t>T2</w:t>
            </w:r>
          </w:p>
        </w:tc>
        <w:tc>
          <w:tcPr>
            <w:tcW w:type="dxa" w:w="3175"/>
            <w:shd w:val="clear" w:fill="F2F5F9"/>
          </w:tcPr>
          <w:p>
            <w:pPr>
              <w:spacing w:after="40"/>
            </w:pPr>
            <w:r/>
            <w:r>
              <w:rPr>
                <w:sz w:val="18"/>
              </w:rPr>
              <w:t>Phased Timeline and Schedule</w:t>
            </w:r>
          </w:p>
        </w:tc>
        <w:tc>
          <w:tcPr>
            <w:tcW w:type="dxa" w:w="1361"/>
            <w:shd w:val="clear" w:fill="F2F5F9"/>
          </w:tcPr>
          <w:p>
            <w:pPr>
              <w:spacing w:after="40"/>
            </w:pPr>
            <w:r/>
            <w:r>
              <w:rPr>
                <w:sz w:val="18"/>
              </w:rPr>
              <w:t>-</w:t>
            </w:r>
          </w:p>
        </w:tc>
        <w:tc>
          <w:tcPr>
            <w:tcW w:type="dxa" w:w="1474"/>
            <w:shd w:val="clear" w:fill="F2F5F9"/>
          </w:tcPr>
          <w:p>
            <w:pPr>
              <w:spacing w:after="40"/>
            </w:pPr>
            <w:r/>
            <w:r>
              <w:rPr>
                <w:sz w:val="18"/>
              </w:rPr>
              <w:t>R2</w:t>
            </w:r>
          </w:p>
        </w:tc>
        <w:tc>
          <w:tcPr>
            <w:tcW w:type="dxa" w:w="1701"/>
            <w:shd w:val="clear" w:fill="F2F5F9"/>
          </w:tcPr>
          <w:p>
            <w:pPr>
              <w:spacing w:after="40"/>
            </w:pPr>
            <w:r/>
            <w:r>
              <w:rPr>
                <w:sz w:val="18"/>
              </w:rPr>
              <w:t>schedule</w:t>
            </w:r>
          </w:p>
        </w:tc>
        <w:tc>
          <w:tcPr>
            <w:tcW w:type="dxa" w:w="1134"/>
            <w:shd w:val="clear" w:fill="F2F5F9"/>
          </w:tcPr>
          <w:p>
            <w:pPr>
              <w:spacing w:after="40"/>
            </w:pPr>
            <w:r/>
            <w:r>
              <w:rPr>
                <w:sz w:val="18"/>
              </w:rPr>
              <w:t>completed</w:t>
            </w:r>
          </w:p>
        </w:tc>
      </w:tr>
      <w:tr>
        <w:trPr>
          <w:cantSplit/>
        </w:trPr>
        <w:tc>
          <w:tcPr>
            <w:tcW w:type="dxa" w:w="624"/>
          </w:tcPr>
          <w:p>
            <w:pPr>
              <w:spacing w:after="40"/>
            </w:pPr>
            <w:r/>
            <w:r>
              <w:rPr>
                <w:sz w:val="18"/>
              </w:rPr>
              <w:t>T3</w:t>
            </w:r>
          </w:p>
        </w:tc>
        <w:tc>
          <w:tcPr>
            <w:tcW w:type="dxa" w:w="3175"/>
          </w:tcPr>
          <w:p>
            <w:pPr>
              <w:spacing w:after="40"/>
            </w:pPr>
            <w:r/>
            <w:r>
              <w:rPr>
                <w:sz w:val="18"/>
              </w:rPr>
              <w:t>Ownership and Content Workflow</w:t>
            </w:r>
          </w:p>
        </w:tc>
        <w:tc>
          <w:tcPr>
            <w:tcW w:type="dxa" w:w="1361"/>
          </w:tcPr>
          <w:p>
            <w:pPr>
              <w:spacing w:after="40"/>
            </w:pPr>
            <w:r/>
            <w:r>
              <w:rPr>
                <w:sz w:val="18"/>
              </w:rPr>
              <w:t>-</w:t>
            </w:r>
          </w:p>
        </w:tc>
        <w:tc>
          <w:tcPr>
            <w:tcW w:type="dxa" w:w="1474"/>
          </w:tcPr>
          <w:p>
            <w:pPr>
              <w:spacing w:after="40"/>
            </w:pPr>
            <w:r/>
            <w:r>
              <w:rPr>
                <w:sz w:val="18"/>
              </w:rPr>
              <w:t>R3</w:t>
            </w:r>
          </w:p>
        </w:tc>
        <w:tc>
          <w:tcPr>
            <w:tcW w:type="dxa" w:w="1701"/>
          </w:tcPr>
          <w:p>
            <w:pPr>
              <w:spacing w:after="40"/>
            </w:pPr>
            <w:r/>
            <w:r>
              <w:rPr>
                <w:sz w:val="18"/>
              </w:rPr>
              <w:t>-</w:t>
            </w:r>
          </w:p>
        </w:tc>
        <w:tc>
          <w:tcPr>
            <w:tcW w:type="dxa" w:w="1134"/>
          </w:tcPr>
          <w:p>
            <w:pPr>
              <w:spacing w:after="40"/>
            </w:pPr>
            <w:r/>
            <w:r>
              <w:rPr>
                <w:sz w:val="18"/>
              </w:rPr>
              <w:t>completed</w:t>
            </w:r>
          </w:p>
        </w:tc>
      </w:tr>
      <w:tr>
        <w:trPr>
          <w:cantSplit/>
        </w:trPr>
        <w:tc>
          <w:tcPr>
            <w:tcW w:type="dxa" w:w="624"/>
            <w:shd w:val="clear" w:fill="F2F5F9"/>
          </w:tcPr>
          <w:p>
            <w:pPr>
              <w:spacing w:after="40"/>
            </w:pPr>
            <w:r/>
            <w:r>
              <w:rPr>
                <w:sz w:val="18"/>
              </w:rPr>
              <w:t>T4</w:t>
            </w:r>
          </w:p>
        </w:tc>
        <w:tc>
          <w:tcPr>
            <w:tcW w:type="dxa" w:w="3175"/>
            <w:shd w:val="clear" w:fill="F2F5F9"/>
          </w:tcPr>
          <w:p>
            <w:pPr>
              <w:spacing w:after="40"/>
            </w:pPr>
            <w:r/>
            <w:r>
              <w:rPr>
                <w:sz w:val="18"/>
              </w:rPr>
              <w:t>Success Metrics Definition</w:t>
            </w:r>
          </w:p>
        </w:tc>
        <w:tc>
          <w:tcPr>
            <w:tcW w:type="dxa" w:w="1361"/>
            <w:shd w:val="clear" w:fill="F2F5F9"/>
          </w:tcPr>
          <w:p>
            <w:pPr>
              <w:spacing w:after="40"/>
            </w:pPr>
            <w:r/>
            <w:r>
              <w:rPr>
                <w:sz w:val="18"/>
              </w:rPr>
              <w:t>-</w:t>
            </w:r>
          </w:p>
        </w:tc>
        <w:tc>
          <w:tcPr>
            <w:tcW w:type="dxa" w:w="1474"/>
            <w:shd w:val="clear" w:fill="F2F5F9"/>
          </w:tcPr>
          <w:p>
            <w:pPr>
              <w:spacing w:after="40"/>
            </w:pPr>
            <w:r/>
            <w:r>
              <w:rPr>
                <w:sz w:val="18"/>
              </w:rPr>
              <w:t>R4</w:t>
            </w:r>
          </w:p>
        </w:tc>
        <w:tc>
          <w:tcPr>
            <w:tcW w:type="dxa" w:w="1701"/>
            <w:shd w:val="clear" w:fill="F2F5F9"/>
          </w:tcPr>
          <w:p>
            <w:pPr>
              <w:spacing w:after="40"/>
            </w:pPr>
            <w:r/>
            <w:r>
              <w:rPr>
                <w:sz w:val="18"/>
              </w:rPr>
              <w:t>-</w:t>
            </w:r>
          </w:p>
        </w:tc>
        <w:tc>
          <w:tcPr>
            <w:tcW w:type="dxa" w:w="1134"/>
            <w:shd w:val="clear" w:fill="F2F5F9"/>
          </w:tcPr>
          <w:p>
            <w:pPr>
              <w:spacing w:after="40"/>
            </w:pPr>
            <w:r/>
            <w:r>
              <w:rPr>
                <w:sz w:val="18"/>
              </w:rPr>
              <w:t>completed</w:t>
            </w:r>
          </w:p>
        </w:tc>
      </w:tr>
      <w:tr>
        <w:trPr>
          <w:cantSplit/>
        </w:trPr>
        <w:tc>
          <w:tcPr>
            <w:tcW w:type="dxa" w:w="624"/>
          </w:tcPr>
          <w:p>
            <w:pPr>
              <w:spacing w:after="40"/>
            </w:pPr>
            <w:r/>
            <w:r>
              <w:rPr>
                <w:sz w:val="18"/>
              </w:rPr>
              <w:t>T5</w:t>
            </w:r>
          </w:p>
        </w:tc>
        <w:tc>
          <w:tcPr>
            <w:tcW w:type="dxa" w:w="3175"/>
          </w:tcPr>
          <w:p>
            <w:pPr>
              <w:spacing w:after="40"/>
            </w:pPr>
            <w:r/>
            <w:r>
              <w:rPr>
                <w:sz w:val="18"/>
              </w:rPr>
              <w:t>Risk Assessment and Mitigation</w:t>
            </w:r>
          </w:p>
        </w:tc>
        <w:tc>
          <w:tcPr>
            <w:tcW w:type="dxa" w:w="1361"/>
          </w:tcPr>
          <w:p>
            <w:pPr>
              <w:spacing w:after="40"/>
            </w:pPr>
            <w:r/>
            <w:r>
              <w:rPr>
                <w:sz w:val="18"/>
              </w:rPr>
              <w:t>-</w:t>
            </w:r>
          </w:p>
        </w:tc>
        <w:tc>
          <w:tcPr>
            <w:tcW w:type="dxa" w:w="1474"/>
          </w:tcPr>
          <w:p>
            <w:pPr>
              <w:spacing w:after="40"/>
            </w:pPr>
            <w:r/>
            <w:r>
              <w:rPr>
                <w:sz w:val="18"/>
              </w:rPr>
              <w:t>R5</w:t>
            </w:r>
          </w:p>
        </w:tc>
        <w:tc>
          <w:tcPr>
            <w:tcW w:type="dxa" w:w="1701"/>
          </w:tcPr>
          <w:p>
            <w:pPr>
              <w:spacing w:after="40"/>
            </w:pPr>
            <w:r/>
            <w:r>
              <w:rPr>
                <w:sz w:val="18"/>
              </w:rPr>
              <w:t>risk_score</w:t>
            </w:r>
          </w:p>
        </w:tc>
        <w:tc>
          <w:tcPr>
            <w:tcW w:type="dxa" w:w="1134"/>
          </w:tcPr>
          <w:p>
            <w:pPr>
              <w:spacing w:after="40"/>
            </w:pPr>
            <w:r/>
            <w:r>
              <w:rPr>
                <w:sz w:val="18"/>
              </w:rPr>
              <w:t>completed</w:t>
            </w:r>
          </w:p>
        </w:tc>
      </w:tr>
      <w:tr>
        <w:trPr>
          <w:cantSplit/>
        </w:trPr>
        <w:tc>
          <w:tcPr>
            <w:tcW w:type="dxa" w:w="624"/>
            <w:shd w:val="clear" w:fill="F2F5F9"/>
          </w:tcPr>
          <w:p>
            <w:pPr>
              <w:spacing w:after="40"/>
            </w:pPr>
            <w:r/>
            <w:r>
              <w:rPr>
                <w:sz w:val="18"/>
              </w:rPr>
              <w:t>T6</w:t>
            </w:r>
          </w:p>
        </w:tc>
        <w:tc>
          <w:tcPr>
            <w:tcW w:type="dxa" w:w="3175"/>
            <w:shd w:val="clear" w:fill="F2F5F9"/>
          </w:tcPr>
          <w:p>
            <w:pPr>
              <w:spacing w:after="40"/>
            </w:pPr>
            <w:r/>
            <w:r>
              <w:rPr>
                <w:sz w:val="18"/>
              </w:rPr>
              <w:t>Executive Summary</w:t>
            </w:r>
          </w:p>
        </w:tc>
        <w:tc>
          <w:tcPr>
            <w:tcW w:type="dxa" w:w="1361"/>
            <w:shd w:val="clear" w:fill="F2F5F9"/>
          </w:tcPr>
          <w:p>
            <w:pPr>
              <w:spacing w:after="40"/>
            </w:pPr>
            <w:r/>
            <w:r>
              <w:rPr>
                <w:sz w:val="18"/>
              </w:rPr>
              <w:t>T1, T2, T3, T4, T5</w:t>
            </w:r>
          </w:p>
        </w:tc>
        <w:tc>
          <w:tcPr>
            <w:tcW w:type="dxa" w:w="1474"/>
            <w:shd w:val="clear" w:fill="F2F5F9"/>
          </w:tcPr>
          <w:p>
            <w:pPr>
              <w:spacing w:after="40"/>
            </w:pPr>
            <w:r/>
            <w:r>
              <w:rPr>
                <w:sz w:val="18"/>
              </w:rPr>
              <w:t>R6</w:t>
            </w:r>
          </w:p>
        </w:tc>
        <w:tc>
          <w:tcPr>
            <w:tcW w:type="dxa" w:w="1701"/>
            <w:shd w:val="clear" w:fill="F2F5F9"/>
          </w:tcPr>
          <w:p>
            <w:pPr>
              <w:spacing w:after="40"/>
            </w:pPr>
            <w:r/>
            <w:r>
              <w:rPr>
                <w:sz w:val="18"/>
              </w:rPr>
              <w:t>-</w:t>
            </w:r>
          </w:p>
        </w:tc>
        <w:tc>
          <w:tcPr>
            <w:tcW w:type="dxa" w:w="1134"/>
            <w:shd w:val="clear" w:fill="F2F5F9"/>
          </w:tcPr>
          <w:p>
            <w:pPr>
              <w:spacing w:after="40"/>
            </w:pPr>
            <w:r/>
            <w:r>
              <w:rPr>
                <w:sz w:val="18"/>
              </w:rPr>
              <w:t>completed</w:t>
            </w:r>
          </w:p>
        </w:tc>
      </w:tr>
    </w:tbl>
    <w:p>
      <w:pPr>
        <w:spacing w:after="40"/>
      </w:pPr>
    </w:p>
    <w:p>
      <w:pPr>
        <w:pStyle w:val="Heading1"/>
      </w:pPr>
      <w:r>
        <w:t>Appendix B: Requirements traceability</w:t>
      </w:r>
    </w:p>
    <w:tbl>
      <w:tblPr>
        <w:tblStyle w:val="TableGrid"/>
        <w:tblW w:type="auto" w:w="0"/>
        <w:jc w:val="center"/>
        <w:tblLayout w:type="fixed"/>
        <w:tblLook w:firstColumn="1" w:firstRow="1" w:lastColumn="0" w:lastRow="0" w:noHBand="0" w:noVBand="1" w:val="04A0"/>
      </w:tblPr>
      <w:tblGrid>
        <w:gridCol w:w="624"/>
        <w:gridCol w:w="4535"/>
        <w:gridCol w:w="1361"/>
        <w:gridCol w:w="2948"/>
      </w:tblGrid>
      <w:tr>
        <w:trPr>
          <w:tblHeader/>
          <w:cantSplit/>
        </w:trPr>
        <w:tc>
          <w:tcPr>
            <w:tcW w:type="dxa" w:w="624"/>
            <w:shd w:val="clear" w:fill="1F3752"/>
          </w:tcPr>
          <w:p>
            <w:r/>
            <w:r>
              <w:rPr>
                <w:b/>
                <w:color w:val="FFFFFF"/>
                <w:sz w:val="18"/>
              </w:rPr>
              <w:t>ID</w:t>
            </w:r>
          </w:p>
        </w:tc>
        <w:tc>
          <w:tcPr>
            <w:tcW w:type="dxa" w:w="4535"/>
            <w:shd w:val="clear" w:fill="1F3752"/>
          </w:tcPr>
          <w:p>
            <w:r/>
            <w:r>
              <w:rPr>
                <w:b/>
                <w:color w:val="FFFFFF"/>
                <w:sz w:val="18"/>
              </w:rPr>
              <w:t>Requirement</w:t>
            </w:r>
          </w:p>
        </w:tc>
        <w:tc>
          <w:tcPr>
            <w:tcW w:type="dxa" w:w="1361"/>
            <w:shd w:val="clear" w:fill="1F3752"/>
          </w:tcPr>
          <w:p>
            <w:r/>
            <w:r>
              <w:rPr>
                <w:b/>
                <w:color w:val="FFFFFF"/>
                <w:sz w:val="18"/>
              </w:rPr>
              <w:t>Covered by</w:t>
            </w:r>
          </w:p>
        </w:tc>
        <w:tc>
          <w:tcPr>
            <w:tcW w:type="dxa" w:w="2948"/>
            <w:shd w:val="clear" w:fill="1F3752"/>
          </w:tcPr>
          <w:p>
            <w:r/>
            <w:r>
              <w:rPr>
                <w:b/>
                <w:color w:val="FFFFFF"/>
                <w:sz w:val="18"/>
              </w:rPr>
              <w:t>Review</w:t>
            </w:r>
          </w:p>
        </w:tc>
      </w:tr>
      <w:tr>
        <w:trPr>
          <w:cantSplit/>
        </w:trPr>
        <w:tc>
          <w:tcPr>
            <w:tcW w:type="dxa" w:w="624"/>
          </w:tcPr>
          <w:p>
            <w:pPr>
              <w:spacing w:after="40"/>
            </w:pPr>
            <w:r/>
            <w:r>
              <w:rPr>
                <w:sz w:val="18"/>
              </w:rPr>
              <w:t>R1</w:t>
            </w:r>
          </w:p>
        </w:tc>
        <w:tc>
          <w:tcPr>
            <w:tcW w:type="dxa" w:w="4535"/>
          </w:tcPr>
          <w:p>
            <w:pPr>
              <w:spacing w:after="40"/>
            </w:pPr>
            <w:r/>
            <w:r>
              <w:rPr>
                <w:sz w:val="18"/>
              </w:rPr>
              <w:t>Define clear, measurable project objectives and scope for the 20-person SaaS company context.</w:t>
            </w:r>
          </w:p>
        </w:tc>
        <w:tc>
          <w:tcPr>
            <w:tcW w:type="dxa" w:w="1361"/>
          </w:tcPr>
          <w:p>
            <w:pPr>
              <w:spacing w:after="40"/>
            </w:pPr>
            <w:r/>
            <w:r>
              <w:rPr>
                <w:sz w:val="18"/>
              </w:rPr>
              <w:t>T1</w:t>
            </w:r>
          </w:p>
        </w:tc>
        <w:tc>
          <w:tcPr>
            <w:tcW w:type="dxa" w:w="2948"/>
          </w:tcPr>
          <w:p>
            <w:pPr>
              <w:spacing w:after="40"/>
            </w:pPr>
            <w:r/>
            <w:r>
              <w:rPr>
                <w:sz w:val="18"/>
              </w:rPr>
              <w:t>met</w:t>
            </w:r>
          </w:p>
        </w:tc>
      </w:tr>
      <w:tr>
        <w:trPr>
          <w:cantSplit/>
        </w:trPr>
        <w:tc>
          <w:tcPr>
            <w:tcW w:type="dxa" w:w="624"/>
            <w:shd w:val="clear" w:fill="F2F5F9"/>
          </w:tcPr>
          <w:p>
            <w:pPr>
              <w:spacing w:after="40"/>
            </w:pPr>
            <w:r/>
            <w:r>
              <w:rPr>
                <w:sz w:val="18"/>
              </w:rPr>
              <w:t>R2</w:t>
            </w:r>
          </w:p>
        </w:tc>
        <w:tc>
          <w:tcPr>
            <w:tcW w:type="dxa" w:w="4535"/>
            <w:shd w:val="clear" w:fill="F2F5F9"/>
          </w:tcPr>
          <w:p>
            <w:pPr>
              <w:spacing w:after="40"/>
            </w:pPr>
            <w:r/>
            <w:r>
              <w:rPr>
                <w:sz w:val="18"/>
              </w:rPr>
              <w:t>Detail a phased workflow covering 6 weeks of execution.</w:t>
            </w:r>
          </w:p>
        </w:tc>
        <w:tc>
          <w:tcPr>
            <w:tcW w:type="dxa" w:w="1361"/>
            <w:shd w:val="clear" w:fill="F2F5F9"/>
          </w:tcPr>
          <w:p>
            <w:pPr>
              <w:spacing w:after="40"/>
            </w:pPr>
            <w:r/>
            <w:r>
              <w:rPr>
                <w:sz w:val="18"/>
              </w:rPr>
              <w:t>T2</w:t>
            </w:r>
          </w:p>
        </w:tc>
        <w:tc>
          <w:tcPr>
            <w:tcW w:type="dxa" w:w="2948"/>
            <w:shd w:val="clear" w:fill="F2F5F9"/>
          </w:tcPr>
          <w:p>
            <w:pPr>
              <w:spacing w:after="40"/>
            </w:pPr>
            <w:r/>
            <w:r>
              <w:rPr>
                <w:sz w:val="18"/>
              </w:rPr>
              <w:t>met</w:t>
            </w:r>
          </w:p>
        </w:tc>
      </w:tr>
      <w:tr>
        <w:trPr>
          <w:cantSplit/>
        </w:trPr>
        <w:tc>
          <w:tcPr>
            <w:tcW w:type="dxa" w:w="624"/>
          </w:tcPr>
          <w:p>
            <w:pPr>
              <w:spacing w:after="40"/>
            </w:pPr>
            <w:r/>
            <w:r>
              <w:rPr>
                <w:sz w:val="18"/>
              </w:rPr>
              <w:t>R3</w:t>
            </w:r>
          </w:p>
        </w:tc>
        <w:tc>
          <w:tcPr>
            <w:tcW w:type="dxa" w:w="4535"/>
          </w:tcPr>
          <w:p>
            <w:pPr>
              <w:spacing w:after="40"/>
            </w:pPr>
            <w:r/>
            <w:r>
              <w:rPr>
                <w:sz w:val="18"/>
              </w:rPr>
              <w:t>Assign explicit ownership and operational workflows including source, owner, review cadence, and update workflow.</w:t>
            </w:r>
          </w:p>
        </w:tc>
        <w:tc>
          <w:tcPr>
            <w:tcW w:type="dxa" w:w="1361"/>
          </w:tcPr>
          <w:p>
            <w:pPr>
              <w:spacing w:after="40"/>
            </w:pPr>
            <w:r/>
            <w:r>
              <w:rPr>
                <w:sz w:val="18"/>
              </w:rPr>
              <w:t>T3</w:t>
            </w:r>
          </w:p>
        </w:tc>
        <w:tc>
          <w:tcPr>
            <w:tcW w:type="dxa" w:w="2948"/>
          </w:tcPr>
          <w:p>
            <w:pPr>
              <w:spacing w:after="40"/>
            </w:pPr>
            <w:r/>
            <w:r>
              <w:rPr>
                <w:sz w:val="18"/>
              </w:rPr>
              <w:t>met</w:t>
            </w:r>
          </w:p>
        </w:tc>
      </w:tr>
      <w:tr>
        <w:trPr>
          <w:cantSplit/>
        </w:trPr>
        <w:tc>
          <w:tcPr>
            <w:tcW w:type="dxa" w:w="624"/>
            <w:shd w:val="clear" w:fill="F2F5F9"/>
          </w:tcPr>
          <w:p>
            <w:pPr>
              <w:spacing w:after="40"/>
            </w:pPr>
            <w:r/>
            <w:r>
              <w:rPr>
                <w:sz w:val="18"/>
              </w:rPr>
              <w:t>R4</w:t>
            </w:r>
          </w:p>
        </w:tc>
        <w:tc>
          <w:tcPr>
            <w:tcW w:type="dxa" w:w="4535"/>
            <w:shd w:val="clear" w:fill="F2F5F9"/>
          </w:tcPr>
          <w:p>
            <w:pPr>
              <w:spacing w:after="40"/>
            </w:pPr>
            <w:r/>
            <w:r>
              <w:rPr>
                <w:sz w:val="18"/>
              </w:rPr>
              <w:t>Establish quantifiable success metrics for launch and post-launch performance.</w:t>
            </w:r>
          </w:p>
        </w:tc>
        <w:tc>
          <w:tcPr>
            <w:tcW w:type="dxa" w:w="1361"/>
            <w:shd w:val="clear" w:fill="F2F5F9"/>
          </w:tcPr>
          <w:p>
            <w:pPr>
              <w:spacing w:after="40"/>
            </w:pPr>
            <w:r/>
            <w:r>
              <w:rPr>
                <w:sz w:val="18"/>
              </w:rPr>
              <w:t>T4</w:t>
            </w:r>
          </w:p>
        </w:tc>
        <w:tc>
          <w:tcPr>
            <w:tcW w:type="dxa" w:w="2948"/>
            <w:shd w:val="clear" w:fill="F2F5F9"/>
          </w:tcPr>
          <w:p>
            <w:pPr>
              <w:spacing w:after="40"/>
            </w:pPr>
            <w:r/>
            <w:r>
              <w:rPr>
                <w:sz w:val="18"/>
              </w:rPr>
              <w:t>met</w:t>
            </w:r>
          </w:p>
        </w:tc>
      </w:tr>
      <w:tr>
        <w:trPr>
          <w:cantSplit/>
        </w:trPr>
        <w:tc>
          <w:tcPr>
            <w:tcW w:type="dxa" w:w="624"/>
          </w:tcPr>
          <w:p>
            <w:pPr>
              <w:spacing w:after="40"/>
            </w:pPr>
            <w:r/>
            <w:r>
              <w:rPr>
                <w:sz w:val="18"/>
              </w:rPr>
              <w:t>R5</w:t>
            </w:r>
          </w:p>
        </w:tc>
        <w:tc>
          <w:tcPr>
            <w:tcW w:type="dxa" w:w="4535"/>
          </w:tcPr>
          <w:p>
            <w:pPr>
              <w:spacing w:after="40"/>
            </w:pPr>
            <w:r/>
            <w:r>
              <w:rPr>
                <w:sz w:val="18"/>
              </w:rPr>
              <w:t>Identify and score key project risks with mitigation strategies.</w:t>
            </w:r>
          </w:p>
        </w:tc>
        <w:tc>
          <w:tcPr>
            <w:tcW w:type="dxa" w:w="1361"/>
          </w:tcPr>
          <w:p>
            <w:pPr>
              <w:spacing w:after="40"/>
            </w:pPr>
            <w:r/>
            <w:r>
              <w:rPr>
                <w:sz w:val="18"/>
              </w:rPr>
              <w:t>T5</w:t>
            </w:r>
          </w:p>
        </w:tc>
        <w:tc>
          <w:tcPr>
            <w:tcW w:type="dxa" w:w="2948"/>
          </w:tcPr>
          <w:p>
            <w:pPr>
              <w:spacing w:after="40"/>
            </w:pPr>
            <w:r/>
            <w:r>
              <w:rPr>
                <w:sz w:val="18"/>
              </w:rPr>
              <w:t>met</w:t>
            </w:r>
          </w:p>
        </w:tc>
      </w:tr>
      <w:tr>
        <w:trPr>
          <w:cantSplit/>
        </w:trPr>
        <w:tc>
          <w:tcPr>
            <w:tcW w:type="dxa" w:w="624"/>
            <w:shd w:val="clear" w:fill="F2F5F9"/>
          </w:tcPr>
          <w:p>
            <w:pPr>
              <w:spacing w:after="40"/>
            </w:pPr>
            <w:r/>
            <w:r>
              <w:rPr>
                <w:sz w:val="18"/>
              </w:rPr>
              <w:t>R6</w:t>
            </w:r>
          </w:p>
        </w:tc>
        <w:tc>
          <w:tcPr>
            <w:tcW w:type="dxa" w:w="4535"/>
            <w:shd w:val="clear" w:fill="F2F5F9"/>
          </w:tcPr>
          <w:p>
            <w:pPr>
              <w:spacing w:after="40"/>
            </w:pPr>
            <w:r/>
            <w:r>
              <w:rPr>
                <w:sz w:val="18"/>
              </w:rPr>
              <w:t>Include an executive summary synthesizing all plan components.</w:t>
            </w:r>
          </w:p>
        </w:tc>
        <w:tc>
          <w:tcPr>
            <w:tcW w:type="dxa" w:w="1361"/>
            <w:shd w:val="clear" w:fill="F2F5F9"/>
          </w:tcPr>
          <w:p>
            <w:pPr>
              <w:spacing w:after="40"/>
            </w:pPr>
            <w:r/>
            <w:r>
              <w:rPr>
                <w:sz w:val="18"/>
              </w:rPr>
              <w:t>T6</w:t>
            </w:r>
          </w:p>
        </w:tc>
        <w:tc>
          <w:tcPr>
            <w:tcW w:type="dxa" w:w="2948"/>
            <w:shd w:val="clear" w:fill="F2F5F9"/>
          </w:tcPr>
          <w:p>
            <w:pPr>
              <w:spacing w:after="40"/>
            </w:pPr>
            <w:r/>
            <w:r>
              <w:rPr>
                <w:sz w:val="18"/>
              </w:rPr>
              <w:t>met</w:t>
            </w:r>
          </w:p>
        </w:tc>
      </w:tr>
    </w:tbl>
    <w:p>
      <w:pPr>
        <w:spacing w:after="40"/>
      </w:pPr>
    </w:p>
    <w:p>
      <w:r>
        <w:t>The draft fully meets all six requirements with concrete details, structured tables, and explicit operational workflows.</w:t>
      </w:r>
    </w:p>
    <w:p>
      <w:pPr>
        <w:pStyle w:val="Heading1"/>
      </w:pPr>
      <w:r>
        <w:t>Appendix C: Tool calls</w:t>
      </w:r>
    </w:p>
    <w:tbl>
      <w:tblPr>
        <w:tblStyle w:val="TableGrid"/>
        <w:tblW w:type="auto" w:w="0"/>
        <w:jc w:val="center"/>
        <w:tblLayout w:type="fixed"/>
        <w:tblLook w:firstColumn="1" w:firstRow="1" w:lastColumn="0" w:lastRow="0" w:noHBand="0" w:noVBand="1" w:val="04A0"/>
      </w:tblPr>
      <w:tblGrid>
        <w:gridCol w:w="737"/>
        <w:gridCol w:w="1361"/>
        <w:gridCol w:w="3402"/>
        <w:gridCol w:w="3969"/>
      </w:tblGrid>
      <w:tr>
        <w:trPr>
          <w:tblHeader/>
          <w:cantSplit/>
        </w:trPr>
        <w:tc>
          <w:tcPr>
            <w:tcW w:type="dxa" w:w="737"/>
            <w:shd w:val="clear" w:fill="1F3752"/>
          </w:tcPr>
          <w:p>
            <w:r/>
            <w:r>
              <w:rPr>
                <w:b/>
                <w:color w:val="FFFFFF"/>
                <w:sz w:val="18"/>
              </w:rPr>
              <w:t>Task</w:t>
            </w:r>
          </w:p>
        </w:tc>
        <w:tc>
          <w:tcPr>
            <w:tcW w:type="dxa" w:w="1361"/>
            <w:shd w:val="clear" w:fill="1F3752"/>
          </w:tcPr>
          <w:p>
            <w:r/>
            <w:r>
              <w:rPr>
                <w:b/>
                <w:color w:val="FFFFFF"/>
                <w:sz w:val="18"/>
              </w:rPr>
              <w:t>Tool</w:t>
            </w:r>
          </w:p>
        </w:tc>
        <w:tc>
          <w:tcPr>
            <w:tcW w:type="dxa" w:w="3402"/>
            <w:shd w:val="clear" w:fill="1F3752"/>
          </w:tcPr>
          <w:p>
            <w:r/>
            <w:r>
              <w:rPr>
                <w:b/>
                <w:color w:val="FFFFFF"/>
                <w:sz w:val="18"/>
              </w:rPr>
              <w:t>Arguments</w:t>
            </w:r>
          </w:p>
        </w:tc>
        <w:tc>
          <w:tcPr>
            <w:tcW w:type="dxa" w:w="3969"/>
            <w:shd w:val="clear" w:fill="1F3752"/>
          </w:tcPr>
          <w:p>
            <w:r/>
            <w:r>
              <w:rPr>
                <w:b/>
                <w:color w:val="FFFFFF"/>
                <w:sz w:val="18"/>
              </w:rPr>
              <w:t>Result</w:t>
            </w:r>
          </w:p>
        </w:tc>
      </w:tr>
      <w:tr>
        <w:trPr>
          <w:cantSplit/>
        </w:trPr>
        <w:tc>
          <w:tcPr>
            <w:tcW w:type="dxa" w:w="737"/>
          </w:tcPr>
          <w:p>
            <w:pPr>
              <w:spacing w:after="40"/>
            </w:pPr>
            <w:r/>
            <w:r>
              <w:rPr>
                <w:sz w:val="18"/>
              </w:rPr>
              <w:t>T2</w:t>
            </w:r>
          </w:p>
        </w:tc>
        <w:tc>
          <w:tcPr>
            <w:tcW w:type="dxa" w:w="1361"/>
          </w:tcPr>
          <w:p>
            <w:pPr>
              <w:spacing w:after="40"/>
            </w:pPr>
            <w:r/>
            <w:r>
              <w:rPr>
                <w:sz w:val="18"/>
              </w:rPr>
              <w:t>schedule</w:t>
            </w:r>
          </w:p>
        </w:tc>
        <w:tc>
          <w:tcPr>
            <w:tcW w:type="dxa" w:w="3402"/>
          </w:tcPr>
          <w:p>
            <w:pPr>
              <w:spacing w:after="40"/>
            </w:pPr>
            <w:r/>
            <w:r>
              <w:rPr>
                <w:sz w:val="18"/>
              </w:rPr>
              <w:t>{"phases": [{"name": "Discovery &amp; Tool Setup", "weeks": 1}, {"name": "Content Audit &amp; Drafting", "weeks": 2}, {"name": "Review, Formatting &amp;</w:t>
            </w:r>
          </w:p>
        </w:tc>
        <w:tc>
          <w:tcPr>
            <w:tcW w:type="dxa" w:w="3969"/>
          </w:tcPr>
          <w:p>
            <w:pPr>
              <w:spacing w:after="40"/>
            </w:pPr>
            <w:r/>
            <w:r>
              <w:rPr>
                <w:sz w:val="18"/>
              </w:rPr>
              <w:t>{"phases": [{"phase": "Discovery &amp; Tool Setup", "start": "26 Oct 2026", "end": "01 Nov 2026", "weeks": 1.0}, {"phase": "Content Audit &amp; Drafting", "start": "02 Nov 2026", "end": "15 Nov 2026", "weeks"...</w:t>
            </w:r>
          </w:p>
        </w:tc>
      </w:tr>
      <w:tr>
        <w:trPr>
          <w:cantSplit/>
        </w:trPr>
        <w:tc>
          <w:tcPr>
            <w:tcW w:type="dxa" w:w="737"/>
            <w:shd w:val="clear" w:fill="F2F5F9"/>
          </w:tcPr>
          <w:p>
            <w:pPr>
              <w:spacing w:after="40"/>
            </w:pPr>
            <w:r/>
            <w:r>
              <w:rPr>
                <w:sz w:val="18"/>
              </w:rPr>
              <w:t>T5</w:t>
            </w:r>
          </w:p>
        </w:tc>
        <w:tc>
          <w:tcPr>
            <w:tcW w:type="dxa" w:w="1361"/>
            <w:shd w:val="clear" w:fill="F2F5F9"/>
          </w:tcPr>
          <w:p>
            <w:pPr>
              <w:spacing w:after="40"/>
            </w:pPr>
            <w:r/>
            <w:r>
              <w:rPr>
                <w:sz w:val="18"/>
              </w:rPr>
              <w:t>risk_score</w:t>
            </w:r>
          </w:p>
        </w:tc>
        <w:tc>
          <w:tcPr>
            <w:tcW w:type="dxa" w:w="3402"/>
            <w:shd w:val="clear" w:fill="F2F5F9"/>
          </w:tcPr>
          <w:p>
            <w:pPr>
              <w:spacing w:after="40"/>
            </w:pPr>
            <w:r/>
            <w:r>
              <w:rPr>
                <w:sz w:val="18"/>
              </w:rPr>
              <w:t>{"risks": [{"name": "Low team adoption of the content update workflow", "likelihood": 3, "impact": 4}, {"name": "Delayed content delivery du</w:t>
            </w:r>
          </w:p>
        </w:tc>
        <w:tc>
          <w:tcPr>
            <w:tcW w:type="dxa" w:w="3969"/>
            <w:shd w:val="clear" w:fill="F2F5F9"/>
          </w:tcPr>
          <w:p>
            <w:pPr>
              <w:spacing w:after="40"/>
            </w:pPr>
            <w:r/>
            <w:r>
              <w:rPr>
                <w:sz w:val="18"/>
              </w:rPr>
              <w:t>{"risks": [{"name": "Low team adoption of the content update workflow", "likelihood": 3, "impact": 4, "score": 12, "rating": "High"}, {"name": "Delayed content delivery due to competing support ticket...</w:t>
            </w:r>
          </w:p>
        </w:tc>
      </w:tr>
    </w:tbl>
    <w:p>
      <w:pPr>
        <w:spacing w:after="40"/>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6"/>
      </w:rPr>
      <w:t xml:space="preserve">Page </w:t>
    </w:r>
    <w:r>
      <w:rPr>
        <w:color w:val="5F6973"/>
        <w:sz w:val="16"/>
      </w:rPr>
      <w:fldChar w:fldCharType="begin"/>
    </w:r>
    <w:r>
      <w:rPr>
        <w:color w:val="5F6973"/>
        <w:sz w:val="16"/>
      </w:rPr>
      <w:instrText xml:space="preserve"> PAGE </w:instrText>
    </w:r>
    <w:r>
      <w:rPr>
        <w:color w:val="5F6973"/>
        <w:sz w:val="16"/>
      </w:rPr>
      <w:fldChar w:fldCharType="separate"/>
    </w:r>
    <w:r>
      <w:rPr>
        <w:color w:val="5F6973"/>
        <w:sz w:val="16"/>
      </w:rPr>
      <w:t>1</w:t>
    </w:r>
    <w:r>
      <w:rPr>
        <w:color w:val="5F6973"/>
        <w:sz w:val="16"/>
      </w:rPr>
      <w:fldChar w:fldCharType="end"/>
    </w:r>
    <w:r>
      <w:rPr>
        <w:color w:val="5F6973"/>
        <w:sz w:val="16"/>
      </w:rPr>
      <w:t xml:space="preserve"> of </w:t>
    </w:r>
    <w:r>
      <w:rPr>
        <w:color w:val="5F6973"/>
        <w:sz w:val="16"/>
      </w:rPr>
      <w:fldChar w:fldCharType="begin"/>
    </w:r>
    <w:r>
      <w:rPr>
        <w:color w:val="5F6973"/>
        <w:sz w:val="16"/>
      </w:rPr>
      <w:instrText xml:space="preserve"> NUMPAGES </w:instrText>
    </w:r>
    <w:r>
      <w:rPr>
        <w:color w:val="5F6973"/>
        <w:sz w:val="16"/>
      </w:rPr>
      <w:fldChar w:fldCharType="separate"/>
    </w:r>
    <w:r>
      <w:rPr>
        <w:color w:val="5F6973"/>
        <w:sz w:val="16"/>
      </w:rPr>
      <w:t>1</w:t>
    </w:r>
    <w:r>
      <w:rPr>
        <w:color w:val="5F6973"/>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973"/>
        <w:sz w:val="16"/>
      </w:rPr>
      <w:t>Customer Support Knowledge Base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B30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F37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7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Knowledge Base Project Plan</dc:title>
  <dc:subject/>
  <dc:creator>Autonomous Document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