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5D1C5" w14:textId="77777777" w:rsidR="00F51C17" w:rsidRDefault="00F51C17" w:rsidP="00F51C17">
      <w:pPr>
        <w:pStyle w:val="Heading1"/>
        <w:jc w:val="both"/>
      </w:pPr>
      <w:r>
        <w:t>Supporting Information</w:t>
      </w:r>
    </w:p>
    <w:p w14:paraId="1D3D3C26" w14:textId="77777777" w:rsidR="00F51C17" w:rsidRDefault="00F51C17" w:rsidP="00F51C17">
      <w:pPr>
        <w:jc w:val="both"/>
      </w:pPr>
      <w:r>
        <w:rPr>
          <w:b/>
          <w:sz w:val="20"/>
          <w:szCs w:val="20"/>
        </w:rPr>
        <w:t>Table S1.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E. coli </w:t>
      </w:r>
      <w:r>
        <w:rPr>
          <w:sz w:val="20"/>
          <w:szCs w:val="20"/>
        </w:rPr>
        <w:t xml:space="preserve">IC residue compositions at cutoff = 0.95. </w:t>
      </w:r>
    </w:p>
    <w:tbl>
      <w:tblPr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8400"/>
      </w:tblGrid>
      <w:tr w:rsidR="00F51C17" w14:paraId="5A18FDA1" w14:textId="77777777" w:rsidTr="004630D3">
        <w:trPr>
          <w:trHeight w:val="34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93F84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69042" w14:textId="77777777" w:rsidR="00F51C17" w:rsidRDefault="00F51C17" w:rsidP="004630D3">
            <w:pPr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i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DHFR residues</w:t>
            </w:r>
          </w:p>
        </w:tc>
      </w:tr>
      <w:tr w:rsidR="00F51C17" w14:paraId="12551CE3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6F88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IC1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95A96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13,23,25,27,32,39,55,63,71,107,133,153</w:t>
            </w:r>
          </w:p>
        </w:tc>
      </w:tr>
      <w:tr w:rsidR="00F51C17" w14:paraId="3392104B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1F59F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IC2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8C7B5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7,14,15,31,35,42,43,44,46,49,53,54,57,59,94,95,96,100,113,122,126</w:t>
            </w:r>
          </w:p>
        </w:tc>
      </w:tr>
      <w:tr w:rsidR="00F51C17" w14:paraId="48D4A50A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7E72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IC3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BE88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21,22,24,50,52,64,81,121,</w:t>
            </w:r>
          </w:p>
        </w:tc>
      </w:tr>
      <w:tr w:rsidR="00F51C17" w14:paraId="393B4F47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C3F3C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IC4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2A907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5,6,11,18,40,45,47,51,92,111,125,</w:t>
            </w:r>
          </w:p>
        </w:tc>
      </w:tr>
    </w:tbl>
    <w:p w14:paraId="335D398D" w14:textId="77777777" w:rsidR="00F51C17" w:rsidRDefault="00F51C17" w:rsidP="00F51C17">
      <w:pPr>
        <w:jc w:val="both"/>
        <w:rPr>
          <w:sz w:val="20"/>
          <w:szCs w:val="20"/>
        </w:rPr>
      </w:pPr>
    </w:p>
    <w:p w14:paraId="1A759923" w14:textId="77777777" w:rsidR="00F51C17" w:rsidRDefault="00F51C17" w:rsidP="00F51C17">
      <w:pPr>
        <w:jc w:val="both"/>
        <w:rPr>
          <w:sz w:val="24"/>
          <w:szCs w:val="24"/>
        </w:rPr>
      </w:pPr>
    </w:p>
    <w:p w14:paraId="2C808F0F" w14:textId="77777777" w:rsidR="00F51C17" w:rsidRDefault="00F51C17" w:rsidP="00F51C17">
      <w:pPr>
        <w:jc w:val="both"/>
        <w:rPr>
          <w:sz w:val="24"/>
          <w:szCs w:val="24"/>
        </w:rPr>
      </w:pPr>
    </w:p>
    <w:p w14:paraId="5AFD06E4" w14:textId="77777777" w:rsidR="00F51C17" w:rsidRDefault="00F51C17" w:rsidP="00F51C1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Table S2. </w:t>
      </w:r>
      <w:r>
        <w:rPr>
          <w:sz w:val="20"/>
          <w:szCs w:val="20"/>
        </w:rPr>
        <w:t xml:space="preserve">Within variant p-values from Mann-Whitney U tests of dynamic correlations. </w:t>
      </w:r>
    </w:p>
    <w:tbl>
      <w:tblPr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3495"/>
        <w:gridCol w:w="3495"/>
      </w:tblGrid>
      <w:tr w:rsidR="00F51C17" w14:paraId="79E08A8A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FE4DDE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Comparison Całegory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FE0CD9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3QL3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3FBA71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3QLO</w:t>
            </w:r>
          </w:p>
        </w:tc>
      </w:tr>
      <w:tr w:rsidR="00F51C17" w14:paraId="7CBA079C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2FDC53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IC1 vs No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24304B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0.11780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5DACC6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0.74632</w:t>
            </w:r>
          </w:p>
        </w:tc>
      </w:tr>
      <w:tr w:rsidR="00F51C17" w14:paraId="6307A24F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C2EA28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IC2 vs No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9DA505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4.57248E-11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D09C43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0.39920</w:t>
            </w:r>
          </w:p>
        </w:tc>
      </w:tr>
      <w:tr w:rsidR="00F51C17" w14:paraId="354F1D8D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EAA716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IC3 vs No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18D088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0.12111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04CD91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0.59298</w:t>
            </w:r>
          </w:p>
        </w:tc>
      </w:tr>
      <w:tr w:rsidR="00F51C17" w14:paraId="51427C6E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2D76F3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IC4 vs No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39221D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0.02640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DEAA92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0.02156</w:t>
            </w:r>
          </w:p>
        </w:tc>
      </w:tr>
      <w:tr w:rsidR="00F51C17" w14:paraId="34B89D0C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EAC562F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IC1 vs Not in Same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733B31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0.08413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B292DA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0.39950</w:t>
            </w:r>
          </w:p>
        </w:tc>
      </w:tr>
      <w:tr w:rsidR="00F51C17" w14:paraId="01AB0620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6DA5C2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IC2 vs Not in Same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7CD97E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2.23752E-10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B0A4B1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0.89636</w:t>
            </w:r>
          </w:p>
        </w:tc>
      </w:tr>
      <w:tr w:rsidR="00F51C17" w14:paraId="75DC7CF1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16BBB7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IC3 vs Not in Same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2C16E7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0.15424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7767F8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0.41011</w:t>
            </w:r>
          </w:p>
        </w:tc>
      </w:tr>
      <w:tr w:rsidR="00F51C17" w14:paraId="13A9651F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B22077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IC4 vs Not in Same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9432E6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0.04020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7167D6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0.05310</w:t>
            </w:r>
          </w:p>
        </w:tc>
      </w:tr>
      <w:tr w:rsidR="00F51C17" w14:paraId="6A6D26ED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990AB6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Any IC vs No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3CC7A6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8.03962E-08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C41BD8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2.69767E-04</w:t>
            </w:r>
          </w:p>
        </w:tc>
      </w:tr>
      <w:tr w:rsidR="00F51C17" w14:paraId="47CDF4C8" w14:textId="77777777" w:rsidTr="004630D3">
        <w:trPr>
          <w:trHeight w:val="415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7B3CCB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Not in Same IC vs No IC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D82AC3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0.25586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ED4DC9" w14:textId="77777777" w:rsidR="00F51C17" w:rsidRDefault="00F51C17" w:rsidP="004630D3">
            <w:pPr>
              <w:jc w:val="bot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5.37196E-04</w:t>
            </w:r>
          </w:p>
        </w:tc>
      </w:tr>
    </w:tbl>
    <w:p w14:paraId="4334718D" w14:textId="77777777" w:rsidR="00F51C17" w:rsidRDefault="00F51C17" w:rsidP="00F51C17">
      <w:pPr>
        <w:jc w:val="both"/>
        <w:rPr>
          <w:sz w:val="20"/>
          <w:szCs w:val="20"/>
        </w:rPr>
      </w:pPr>
    </w:p>
    <w:p w14:paraId="4DF50058" w14:textId="77777777" w:rsidR="00F51C17" w:rsidRDefault="00F51C17" w:rsidP="00F51C17">
      <w:pPr>
        <w:jc w:val="both"/>
        <w:rPr>
          <w:sz w:val="24"/>
          <w:szCs w:val="24"/>
        </w:rPr>
      </w:pPr>
    </w:p>
    <w:p w14:paraId="4B1B0CCE" w14:textId="77777777" w:rsidR="00F51C17" w:rsidRDefault="00F51C17" w:rsidP="00F51C17">
      <w:pPr>
        <w:jc w:val="both"/>
        <w:rPr>
          <w:sz w:val="24"/>
          <w:szCs w:val="24"/>
        </w:rPr>
      </w:pPr>
    </w:p>
    <w:p w14:paraId="67C716B2" w14:textId="77777777" w:rsidR="00F51C17" w:rsidRDefault="00F51C17" w:rsidP="00F51C1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Table S3. </w:t>
      </w:r>
      <w:r>
        <w:rPr>
          <w:sz w:val="20"/>
          <w:szCs w:val="20"/>
        </w:rPr>
        <w:t xml:space="preserve">Across variant p-values from Mann-Whitney U tests of dynamic correlations. </w:t>
      </w:r>
    </w:p>
    <w:tbl>
      <w:tblPr>
        <w:tblW w:w="9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  <w:gridCol w:w="3750"/>
      </w:tblGrid>
      <w:tr w:rsidR="00F51C17" w14:paraId="64DB4074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BE9F07" w14:textId="77777777" w:rsidR="00F51C17" w:rsidRDefault="00F51C17" w:rsidP="004630D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Comparison Category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E7ACC1" w14:textId="77777777" w:rsidR="00F51C17" w:rsidRDefault="00F51C17" w:rsidP="004630D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Comparison</w:t>
            </w:r>
          </w:p>
        </w:tc>
      </w:tr>
      <w:tr w:rsidR="00F51C17" w14:paraId="2421E150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4481E6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IC1 (3QL3) vs IC1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3833A4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0.6576</w:t>
            </w:r>
          </w:p>
        </w:tc>
      </w:tr>
      <w:tr w:rsidR="00F51C17" w14:paraId="40F7B5FC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CD7F85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IC2 (3QL3) vs IC2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A1F9C4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6.92E-08</w:t>
            </w:r>
          </w:p>
        </w:tc>
      </w:tr>
      <w:tr w:rsidR="00F51C17" w14:paraId="6FA66F61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0D5FF5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lastRenderedPageBreak/>
              <w:t>IC3 (3QL3) vs IC3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272AEB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0.24081</w:t>
            </w:r>
          </w:p>
        </w:tc>
      </w:tr>
      <w:tr w:rsidR="00F51C17" w14:paraId="595021A8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0BDFBC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IC4 (3QL3) vs IC4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93271B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3.93E-04</w:t>
            </w:r>
          </w:p>
        </w:tc>
      </w:tr>
      <w:tr w:rsidR="00F51C17" w14:paraId="0F3C5CE0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28049E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Any IC (3QL3) vs Any IC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461265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6.52E-23</w:t>
            </w:r>
          </w:p>
        </w:tc>
      </w:tr>
      <w:tr w:rsidR="00F51C17" w14:paraId="03CFEB86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C3A8FC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No IC (3QL3) vs No IC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369A73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2.45E-12</w:t>
            </w:r>
          </w:p>
        </w:tc>
      </w:tr>
      <w:tr w:rsidR="00F51C17" w14:paraId="4D1371EF" w14:textId="77777777" w:rsidTr="004630D3"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A8B1A92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Not in Same IC (3QL3) vs Not in Same IC (3QL0)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58727ED" w14:textId="77777777" w:rsidR="00F51C17" w:rsidRDefault="00F51C17" w:rsidP="00463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4.62E-58</w:t>
            </w:r>
          </w:p>
        </w:tc>
      </w:tr>
    </w:tbl>
    <w:p w14:paraId="7E06B88F" w14:textId="77777777" w:rsidR="00F51C17" w:rsidRDefault="00F51C17" w:rsidP="00F51C17">
      <w:pPr>
        <w:jc w:val="both"/>
        <w:rPr>
          <w:sz w:val="20"/>
          <w:szCs w:val="20"/>
        </w:rPr>
      </w:pPr>
    </w:p>
    <w:p w14:paraId="62E344E0" w14:textId="77777777" w:rsidR="00F51C17" w:rsidRDefault="00F51C17" w:rsidP="00F51C17">
      <w:pPr>
        <w:jc w:val="both"/>
        <w:rPr>
          <w:sz w:val="24"/>
          <w:szCs w:val="24"/>
        </w:rPr>
      </w:pPr>
    </w:p>
    <w:p w14:paraId="43D63A30" w14:textId="77777777" w:rsidR="00F51C17" w:rsidRDefault="00F51C17" w:rsidP="00F51C17">
      <w:pPr>
        <w:jc w:val="both"/>
        <w:rPr>
          <w:sz w:val="24"/>
          <w:szCs w:val="24"/>
        </w:rPr>
      </w:pPr>
      <w:r>
        <w:rPr>
          <w:b/>
          <w:sz w:val="20"/>
          <w:szCs w:val="20"/>
        </w:rPr>
        <w:t>Table S4.</w:t>
      </w:r>
      <w:r>
        <w:rPr>
          <w:sz w:val="20"/>
          <w:szCs w:val="20"/>
        </w:rPr>
        <w:t xml:space="preserve"> Human DHFR IC residue compositions at cutoff = 0.95. </w:t>
      </w:r>
    </w:p>
    <w:tbl>
      <w:tblPr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8400"/>
      </w:tblGrid>
      <w:tr w:rsidR="00F51C17" w14:paraId="636498AB" w14:textId="77777777" w:rsidTr="004630D3">
        <w:trPr>
          <w:trHeight w:val="34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3241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C92B3" w14:textId="77777777" w:rsidR="00F51C17" w:rsidRDefault="00F51C17" w:rsidP="004630D3">
            <w:pPr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Human DHFR residues</w:t>
            </w:r>
          </w:p>
        </w:tc>
      </w:tr>
      <w:tr w:rsidR="00F51C17" w14:paraId="65D9FC38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1C871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IC1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3553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15,26,28,30,35,47,49,68,76,85,128,156,179</w:t>
            </w:r>
          </w:p>
        </w:tc>
      </w:tr>
      <w:tr w:rsidR="00F51C17" w14:paraId="5CE8C5C1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DE23B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IC2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CF53C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9,16,17,34,38,52,53,54,56,59,66,67,70,72,115,116,117,121,136,145,149</w:t>
            </w:r>
          </w:p>
        </w:tc>
      </w:tr>
      <w:tr w:rsidR="00F51C17" w14:paraId="0332DBB1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7577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IC3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3BF68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23,24,27,60,65,77,96,144</w:t>
            </w:r>
          </w:p>
        </w:tc>
      </w:tr>
      <w:tr w:rsidR="00F51C17" w14:paraId="36D6903F" w14:textId="77777777" w:rsidTr="004630D3">
        <w:trPr>
          <w:trHeight w:val="285"/>
        </w:trPr>
        <w:tc>
          <w:tcPr>
            <w:tcW w:w="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2BFC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IC4</w:t>
            </w:r>
          </w:p>
        </w:tc>
        <w:tc>
          <w:tcPr>
            <w:tcW w:w="84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45B7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7,8,13,20,50,55,57,61,113,134,148</w:t>
            </w:r>
          </w:p>
        </w:tc>
      </w:tr>
    </w:tbl>
    <w:p w14:paraId="60687F73" w14:textId="77777777" w:rsidR="00F51C17" w:rsidRDefault="00F51C17" w:rsidP="00F51C17">
      <w:pPr>
        <w:jc w:val="both"/>
        <w:rPr>
          <w:sz w:val="20"/>
          <w:szCs w:val="20"/>
        </w:rPr>
      </w:pPr>
    </w:p>
    <w:p w14:paraId="23EE5252" w14:textId="77777777" w:rsidR="00F51C17" w:rsidRDefault="00F51C17" w:rsidP="00F51C17">
      <w:pPr>
        <w:jc w:val="both"/>
        <w:rPr>
          <w:sz w:val="20"/>
          <w:szCs w:val="20"/>
        </w:rPr>
      </w:pPr>
    </w:p>
    <w:p w14:paraId="08D8CAB7" w14:textId="77777777" w:rsidR="00F51C17" w:rsidRDefault="00F51C17" w:rsidP="00F51C17">
      <w:pPr>
        <w:jc w:val="both"/>
        <w:rPr>
          <w:sz w:val="24"/>
          <w:szCs w:val="24"/>
        </w:rPr>
      </w:pPr>
    </w:p>
    <w:p w14:paraId="7FE5876C" w14:textId="77777777" w:rsidR="00F51C17" w:rsidRDefault="00F51C17" w:rsidP="00F51C17">
      <w:pPr>
        <w:jc w:val="both"/>
        <w:rPr>
          <w:b/>
          <w:sz w:val="24"/>
          <w:szCs w:val="24"/>
        </w:rPr>
      </w:pPr>
    </w:p>
    <w:p w14:paraId="23893C3D" w14:textId="77777777" w:rsidR="00F51C17" w:rsidRDefault="00F51C17" w:rsidP="00F51C17">
      <w:pPr>
        <w:jc w:val="both"/>
        <w:rPr>
          <w:b/>
          <w:sz w:val="24"/>
          <w:szCs w:val="24"/>
        </w:rPr>
      </w:pPr>
      <w:r>
        <w:rPr>
          <w:b/>
          <w:sz w:val="20"/>
          <w:szCs w:val="20"/>
        </w:rPr>
        <w:t xml:space="preserve">TableS5. </w:t>
      </w:r>
      <w:r>
        <w:rPr>
          <w:sz w:val="20"/>
          <w:szCs w:val="20"/>
        </w:rPr>
        <w:t xml:space="preserve">Proteins for which the Met20 Pro-Pro motif was present in our original alignment and which did not possess either the Gly20 mutation or the exact 61-PEKN-65 mutation. PFAM protein accession numbers are in the first column with common or scientific names available in the second column. </w:t>
      </w:r>
    </w:p>
    <w:tbl>
      <w:tblPr>
        <w:tblW w:w="10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705"/>
        <w:gridCol w:w="900"/>
        <w:gridCol w:w="1815"/>
        <w:gridCol w:w="1785"/>
      </w:tblGrid>
      <w:tr w:rsidR="00F51C17" w14:paraId="49C795E6" w14:textId="77777777" w:rsidTr="004630D3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A954" w14:textId="77777777" w:rsidR="00F51C17" w:rsidRDefault="00F51C17" w:rsidP="00463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PFAM accession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EC0F" w14:textId="77777777" w:rsidR="00F51C17" w:rsidRDefault="00F51C17" w:rsidP="00463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CE8B" w14:textId="77777777" w:rsidR="00F51C17" w:rsidRDefault="00F51C17" w:rsidP="00463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Gly20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9533" w14:textId="77777777" w:rsidR="00F51C17" w:rsidRDefault="00F51C17" w:rsidP="00463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Met20 </w:t>
            </w:r>
          </w:p>
          <w:p w14:paraId="02A86BD2" w14:textId="77777777" w:rsidR="00F51C17" w:rsidRDefault="00F51C17" w:rsidP="00463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Loop motif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03CD" w14:textId="77777777" w:rsidR="00F51C17" w:rsidRDefault="00F51C17" w:rsidP="00463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P61-N65</w:t>
            </w:r>
          </w:p>
        </w:tc>
      </w:tr>
      <w:tr w:rsidR="00F51C17" w14:paraId="2B39EE82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8CE873F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R7UI73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27325B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Capitella teleta</w:t>
            </w:r>
            <w:r>
              <w:rPr>
                <w:sz w:val="24"/>
                <w:szCs w:val="24"/>
              </w:rPr>
              <w:t xml:space="preserve"> </w:t>
            </w:r>
          </w:p>
          <w:p w14:paraId="58C3CF48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(Polychaete worm)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AF3F1AB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B8B1845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22EDF51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GEEE</w:t>
            </w:r>
          </w:p>
        </w:tc>
      </w:tr>
      <w:tr w:rsidR="00F51C17" w14:paraId="54441835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87FC106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U6GUT1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1CEE2E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Eimeria acervulina</w:t>
            </w:r>
            <w:r>
              <w:rPr>
                <w:sz w:val="24"/>
                <w:szCs w:val="24"/>
              </w:rPr>
              <w:t xml:space="preserve"> </w:t>
            </w:r>
          </w:p>
          <w:p w14:paraId="58EA1CDF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(Coccidian parasite)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8627FC3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5CC3321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5D26A47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</w:t>
            </w:r>
          </w:p>
        </w:tc>
      </w:tr>
      <w:tr w:rsidR="00F51C17" w14:paraId="3FEAD1BA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361911B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S7NYA8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1088934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brandts bat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F848C46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B0620F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52C4F4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PKKN</w:t>
            </w:r>
          </w:p>
        </w:tc>
      </w:tr>
      <w:tr w:rsidR="00F51C17" w14:paraId="07C34346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E7CB28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G1QES9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DA86DF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little brown bt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A74BC9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B744480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674BEA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PKKN</w:t>
            </w:r>
          </w:p>
        </w:tc>
      </w:tr>
      <w:tr w:rsidR="00F51C17" w14:paraId="59086A28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8F87AC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L5KJI5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8B9796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black flying fox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943272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0424FA6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AF66187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PKKN</w:t>
            </w:r>
          </w:p>
        </w:tc>
      </w:tr>
      <w:tr w:rsidR="00F51C17" w14:paraId="3F848628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2DD72F3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S7NHW6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8F95C3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brandts bat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371509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D2DFA0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7DE2029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PKKN</w:t>
            </w:r>
          </w:p>
        </w:tc>
      </w:tr>
      <w:tr w:rsidR="00F51C17" w14:paraId="35D515F2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A1B8E63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M1VWK3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324E58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claviceps purpurea</w:t>
            </w:r>
            <w:r>
              <w:rPr>
                <w:sz w:val="24"/>
                <w:szCs w:val="24"/>
              </w:rPr>
              <w:t xml:space="preserve"> (ergot)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AF472C4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EE39927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C773FB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PPSF</w:t>
            </w:r>
          </w:p>
        </w:tc>
      </w:tr>
      <w:tr w:rsidR="00F51C17" w14:paraId="3C8AD43C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AB7A820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A0A2Z5U771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B9AAD8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Rhinolophus gammaherpesvirus 1 </w:t>
            </w:r>
            <w:r>
              <w:rPr>
                <w:sz w:val="24"/>
                <w:szCs w:val="24"/>
              </w:rPr>
              <w:t>(from greater horshoe bat)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7DBE46E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9D72023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CF8B6D5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PTKS</w:t>
            </w:r>
          </w:p>
        </w:tc>
      </w:tr>
      <w:tr w:rsidR="00F51C17" w14:paraId="1D340062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4FCC6E2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A0A3L8S6E8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6691B5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Chloebia gouldiae</w:t>
            </w:r>
            <w:r>
              <w:rPr>
                <w:sz w:val="24"/>
                <w:szCs w:val="24"/>
              </w:rPr>
              <w:t xml:space="preserve"> </w:t>
            </w:r>
          </w:p>
          <w:p w14:paraId="59F0C324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(Gouldian finch)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47B159F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F92A90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1E299D2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PEKS</w:t>
            </w:r>
          </w:p>
        </w:tc>
      </w:tr>
      <w:tr w:rsidR="00F51C17" w14:paraId="77238CFB" w14:textId="77777777" w:rsidTr="004630D3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EFF6E9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U3IIA3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437405" w14:textId="77777777" w:rsidR="00F51C17" w:rsidRDefault="00F51C17" w:rsidP="004630D3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Anas platyrhynchos platyrhynchos </w:t>
            </w:r>
          </w:p>
          <w:p w14:paraId="2EC6CEBE" w14:textId="77777777" w:rsidR="00F51C17" w:rsidRDefault="00F51C17" w:rsidP="004630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(Northern mallard)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BF60A38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8F2CCDA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5A99E1D" w14:textId="77777777" w:rsidR="00F51C17" w:rsidRDefault="00F51C17" w:rsidP="004630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PEKH</w:t>
            </w:r>
          </w:p>
        </w:tc>
      </w:tr>
    </w:tbl>
    <w:p w14:paraId="29E48035" w14:textId="77777777" w:rsidR="00F51C17" w:rsidRDefault="00F51C17" w:rsidP="00F51C17">
      <w:pPr>
        <w:jc w:val="both"/>
        <w:rPr>
          <w:b/>
          <w:sz w:val="24"/>
          <w:szCs w:val="24"/>
        </w:rPr>
      </w:pPr>
    </w:p>
    <w:p w14:paraId="3E173105" w14:textId="77777777" w:rsidR="00F51C17" w:rsidRDefault="00F51C17" w:rsidP="00F51C17">
      <w:pPr>
        <w:jc w:val="both"/>
        <w:rPr>
          <w:sz w:val="20"/>
          <w:szCs w:val="20"/>
        </w:rPr>
      </w:pPr>
    </w:p>
    <w:p w14:paraId="1AC05666" w14:textId="77777777" w:rsidR="00F51C17" w:rsidRDefault="00F51C17" w:rsidP="00F51C17">
      <w:pPr>
        <w:jc w:val="both"/>
        <w:rPr>
          <w:b/>
          <w:sz w:val="24"/>
          <w:szCs w:val="24"/>
        </w:rPr>
      </w:pPr>
    </w:p>
    <w:p w14:paraId="5FBF48C4" w14:textId="77777777" w:rsidR="00F51C17" w:rsidRDefault="00F51C17" w:rsidP="00F51C17">
      <w:pPr>
        <w:jc w:val="both"/>
        <w:rPr>
          <w:b/>
          <w:sz w:val="24"/>
          <w:szCs w:val="24"/>
        </w:rPr>
      </w:pPr>
    </w:p>
    <w:p w14:paraId="48576C82" w14:textId="77777777" w:rsidR="00F51C17" w:rsidRDefault="00F51C17" w:rsidP="00F51C17">
      <w:pPr>
        <w:jc w:val="both"/>
        <w:rPr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114300" distB="114300" distL="114300" distR="114300" wp14:anchorId="65D48A0E" wp14:editId="25C11873">
            <wp:extent cx="3862388" cy="2822839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822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A80E1" w14:textId="77777777" w:rsidR="00F51C17" w:rsidRDefault="00F51C17" w:rsidP="00F51C1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Figure S1. </w:t>
      </w:r>
      <w:r>
        <w:rPr>
          <w:sz w:val="20"/>
          <w:szCs w:val="20"/>
        </w:rPr>
        <w:t>The root-mean squared deviation (RMSD) of wild-type (3QL3, blue) and mutant (3QL0, red) DHFR with respect to the initial structure over the duration of 13 ns simulation.</w:t>
      </w:r>
    </w:p>
    <w:p w14:paraId="2B5F26C9" w14:textId="77777777" w:rsidR="00F51C17" w:rsidRDefault="00F51C17" w:rsidP="00F51C17">
      <w:pPr>
        <w:jc w:val="both"/>
        <w:rPr>
          <w:sz w:val="24"/>
          <w:szCs w:val="24"/>
        </w:rPr>
      </w:pPr>
    </w:p>
    <w:p w14:paraId="7C5FA7D6" w14:textId="77777777" w:rsidR="00F51C17" w:rsidRDefault="00F51C17" w:rsidP="00F51C17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7BD3B3B0" wp14:editId="03A164D2">
            <wp:extent cx="3871913" cy="2903934"/>
            <wp:effectExtent l="0" t="0" r="0" b="0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903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6AD22" w14:textId="77777777" w:rsidR="00F51C17" w:rsidRDefault="00F51C17" w:rsidP="00F51C17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Figure S2. </w:t>
      </w:r>
      <w:r>
        <w:rPr>
          <w:sz w:val="20"/>
          <w:szCs w:val="20"/>
        </w:rPr>
        <w:t>The distance between the folate ligand and Asp residue in the active site of wild-type (blue) and mutant (red) DHFR over the course of simulation.</w:t>
      </w:r>
    </w:p>
    <w:p w14:paraId="071CDCE1" w14:textId="77777777" w:rsidR="00F51C17" w:rsidRDefault="00F51C17" w:rsidP="00F51C17">
      <w:pPr>
        <w:jc w:val="both"/>
        <w:rPr>
          <w:b/>
          <w:sz w:val="24"/>
          <w:szCs w:val="24"/>
        </w:rPr>
      </w:pPr>
    </w:p>
    <w:p w14:paraId="79524A06" w14:textId="77777777" w:rsidR="00F51C17" w:rsidRDefault="00F51C17" w:rsidP="00F51C1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Simulation stability</w:t>
      </w:r>
      <w:r>
        <w:rPr>
          <w:sz w:val="24"/>
          <w:szCs w:val="24"/>
        </w:rPr>
        <w:t>.</w:t>
      </w:r>
    </w:p>
    <w:p w14:paraId="64EEC169" w14:textId="77777777" w:rsidR="00F51C17" w:rsidRDefault="00F51C17" w:rsidP="00F51C1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Figure S1 monitors the RMSD of the proteins with respect to the first frame of the trajectory over the simulation time. Simulations of the wild-type and mutant DHFR are shown to be reasonably stable, with fluctuations gradually increasing then stabilizing at approximately 1.5 Å starting at around 6 ns. Distance between the folate ligand and a residue in the DHFR active site (D27 in 3QL3 and D28 in 3QL0) from center of mass was also calculated to monitor the stability of the ligand-amino acid interaction during the simulation. Figure S2 shows this distance averages at around 7.4 Å and fluctuations are within a range of 2 Å for both the wild-type and mutant DHFR, suggesting relative stability of this interaction throughout the simulation. </w:t>
      </w:r>
    </w:p>
    <w:p w14:paraId="367ED574" w14:textId="77777777" w:rsidR="00F51C17" w:rsidRDefault="00F51C17" w:rsidP="00F51C17">
      <w:pPr>
        <w:jc w:val="both"/>
      </w:pPr>
    </w:p>
    <w:p w14:paraId="3ACF83BB" w14:textId="77777777" w:rsidR="00F51C17" w:rsidRDefault="00F51C17" w:rsidP="00F51C17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61A585C2" wp14:editId="26094988">
            <wp:extent cx="5630698" cy="699325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698" cy="6993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D6670" w14:textId="77777777" w:rsidR="00F51C17" w:rsidRDefault="00F51C17" w:rsidP="00F51C1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Figure S3. (A) </w:t>
      </w:r>
      <w:r>
        <w:rPr>
          <w:sz w:val="20"/>
          <w:szCs w:val="20"/>
        </w:rPr>
        <w:t xml:space="preserve">shows the average hinge distance for wild-type and mutant DHFR. Wild-type hinge distance (blue) is the average distance between positions 22-53, 23-53 and 24-53 while mutant hinge distance (red) is the average of the distance between positions 22-54, 23-54 and 25-54. </w:t>
      </w:r>
      <w:r>
        <w:rPr>
          <w:b/>
          <w:sz w:val="20"/>
          <w:szCs w:val="20"/>
        </w:rPr>
        <w:t xml:space="preserve">(B) </w:t>
      </w:r>
      <w:r>
        <w:rPr>
          <w:sz w:val="20"/>
          <w:szCs w:val="20"/>
        </w:rPr>
        <w:t xml:space="preserve">shows the kernel density estimate of the distance between Ser49 and Asn18 in wild-type (green) and mutant (blue). All measurements were taken at the alpha carbon and measured for simulation frames 1500-2600. </w:t>
      </w:r>
    </w:p>
    <w:p w14:paraId="254FB7CC" w14:textId="77777777" w:rsidR="00F51C17" w:rsidRDefault="00F51C17" w:rsidP="00F51C17">
      <w:pPr>
        <w:jc w:val="both"/>
      </w:pPr>
    </w:p>
    <w:p w14:paraId="7E4AD02B" w14:textId="77777777" w:rsidR="00F51C17" w:rsidRDefault="00F51C17" w:rsidP="00F51C17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4D56A904" wp14:editId="109EEAA7">
            <wp:extent cx="4768215" cy="51930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2087" t="6769" r="7660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5193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0F144" w14:textId="77777777" w:rsidR="00F51C17" w:rsidRDefault="00F51C17" w:rsidP="00F51C17">
      <w:r>
        <w:rPr>
          <w:b/>
          <w:sz w:val="20"/>
          <w:szCs w:val="20"/>
        </w:rPr>
        <w:t xml:space="preserve">Figure S4. </w:t>
      </w:r>
      <w:r>
        <w:rPr>
          <w:sz w:val="20"/>
          <w:szCs w:val="20"/>
        </w:rPr>
        <w:t xml:space="preserve">Overlaid PDB structures for human (PDB:4M6K) and </w:t>
      </w:r>
      <w:r>
        <w:rPr>
          <w:i/>
          <w:sz w:val="20"/>
          <w:szCs w:val="20"/>
        </w:rPr>
        <w:t xml:space="preserve">E. coli </w:t>
      </w:r>
      <w:r>
        <w:rPr>
          <w:sz w:val="20"/>
          <w:szCs w:val="20"/>
        </w:rPr>
        <w:t xml:space="preserve">(PDB:3QL3) DHFR </w:t>
      </w:r>
      <w:r>
        <w:rPr>
          <w:b/>
          <w:sz w:val="20"/>
          <w:szCs w:val="20"/>
        </w:rPr>
        <w:t xml:space="preserve">(A) </w:t>
      </w:r>
      <w:r>
        <w:rPr>
          <w:sz w:val="20"/>
          <w:szCs w:val="20"/>
        </w:rPr>
        <w:t xml:space="preserve">along with the structure-based alignment of their sectors (ICs 2-4) </w:t>
      </w:r>
      <w:r>
        <w:rPr>
          <w:b/>
          <w:sz w:val="20"/>
          <w:szCs w:val="20"/>
        </w:rPr>
        <w:t>(B)</w:t>
      </w:r>
      <w:r>
        <w:rPr>
          <w:sz w:val="20"/>
          <w:szCs w:val="20"/>
        </w:rPr>
        <w:t>. The RMSD for the structure-based alignment was 0.853</w:t>
      </w:r>
      <w:r>
        <w:rPr>
          <w:rFonts w:ascii="Cambria Math" w:hAnsi="Cambria Math" w:cs="Cambria Math"/>
          <w:sz w:val="20"/>
          <w:szCs w:val="20"/>
        </w:rPr>
        <w:t>Å</w:t>
      </w:r>
      <w:r>
        <w:rPr>
          <w:sz w:val="20"/>
          <w:szCs w:val="20"/>
        </w:rPr>
        <w:t xml:space="preserve"> after 5 cycles with a total of 42 rejected atoms. Numbering is only accurate for the amino acid over which it appears and is meant as a reference for the others. </w:t>
      </w:r>
    </w:p>
    <w:p w14:paraId="4E9BD5F7" w14:textId="77777777" w:rsidR="00C04E90" w:rsidRDefault="00F51C17">
      <w:bookmarkStart w:id="0" w:name="_GoBack"/>
      <w:bookmarkEnd w:id="0"/>
    </w:p>
    <w:sectPr w:rsidR="00C04E90" w:rsidSect="002F0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17"/>
    <w:rsid w:val="000632A6"/>
    <w:rsid w:val="002F0F0D"/>
    <w:rsid w:val="00493647"/>
    <w:rsid w:val="006E7838"/>
    <w:rsid w:val="007E6067"/>
    <w:rsid w:val="00874631"/>
    <w:rsid w:val="00BD44FB"/>
    <w:rsid w:val="00F51C17"/>
    <w:rsid w:val="00F8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357DD"/>
  <w15:chartTrackingRefBased/>
  <w15:docId w15:val="{6514A18F-5708-9F49-A661-EDD76304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C17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C17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17"/>
    <w:rPr>
      <w:rFonts w:ascii="Arial" w:eastAsia="Arial" w:hAnsi="Arial" w:cs="Arial"/>
      <w:sz w:val="40"/>
      <w:szCs w:val="4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kalmer</dc:creator>
  <cp:keywords/>
  <dc:description/>
  <cp:lastModifiedBy>tom kalmer</cp:lastModifiedBy>
  <cp:revision>1</cp:revision>
  <dcterms:created xsi:type="dcterms:W3CDTF">2024-06-18T23:00:00Z</dcterms:created>
  <dcterms:modified xsi:type="dcterms:W3CDTF">2024-06-18T23:00:00Z</dcterms:modified>
</cp:coreProperties>
</file>