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mc:Ignorable="w14 w15 w16se w16cid w16 w16cex w16sdtdh wp14">
  <w:body>
    <w:p w14:paraId="00000001">
      <w:pPr>
        <w:pBdr/>
        <w:spacing/>
        <w:ind/>
        <w:rPr/>
      </w:pPr>
      <w:r>
        <w:rPr>
          <w:rtl w:val="0"/>
        </w:rPr>
      </w:r>
      <w:r/>
    </w:p>
    <w:tbl>
      <w:tblPr>
        <w:tblStyle w:val="691"/>
        <w:tblW w:w="900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35"/>
        <w:tblGridChange w:id="0">
          <w:tblGrid>
            <w:gridCol w:w="1665"/>
            <w:gridCol w:w="7335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2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3">
            <w:pPr>
              <w:widowControl w:val="false"/>
              <w:pBdr/>
              <w:spacing w:line="240" w:lineRule="auto"/>
              <w:ind/>
              <w:rPr/>
            </w:pPr>
            <w:r>
              <w:t>Ghi nhận biến động số dư</w:t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4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5">
            <w:pPr>
              <w:widowControl w:val="false"/>
              <w:pBdr/>
              <w:spacing w:line="240" w:lineRule="auto"/>
              <w:ind/>
              <w:rPr/>
            </w:pPr>
            <w:r>
              <w:t>Module nghiệp vụ</w:t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6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7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Có nghiệp vụ làm thay đổi số dư.</w:t>
            </w:r>
            <w:r/>
          </w:p>
          <w:p w14:paraId="00000008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Có reference ID hợp lệ.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9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A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Wallet và Ledger luôn được cập nhật trong cùng transaction.</w:t>
            </w:r>
            <w:r/>
          </w:p>
          <w:p w14:paraId="0000000B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Mỗi biến động số dư có thể truy vết.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C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D">
            <w:pPr>
              <w:widowControl w:val="false"/>
              <w:numPr>
                <w:ilvl w:val="0"/>
                <w:numId w:val="2"/>
              </w:numPr>
              <w:pBdr/>
              <w:spacing w:after="0" w:afterAutospacing="0" w:before="240"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Module nguồn bắt đầu database transaction.</w:t>
            </w:r>
            <w:r>
              <w:rPr>
                <w:u w:val="none"/>
              </w:rPr>
            </w:r>
          </w:p>
          <w:p w14:paraId="0000000E">
            <w:pPr>
              <w:widowControl w:val="false"/>
              <w:numPr>
                <w:ilvl w:val="0"/>
                <w:numId w:val="2"/>
              </w:numPr>
              <w:pBdr/>
              <w:spacing w:after="0" w:afterAutospacing="0" w:before="0" w:beforeAutospacing="0"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Module cập nhật Wallet.</w:t>
            </w:r>
            <w:r>
              <w:rPr>
                <w:u w:val="none"/>
              </w:rPr>
            </w:r>
          </w:p>
          <w:p w14:paraId="0000000F">
            <w:pPr>
              <w:widowControl w:val="false"/>
              <w:numPr>
                <w:ilvl w:val="0"/>
                <w:numId w:val="2"/>
              </w:numPr>
              <w:pBdr/>
              <w:spacing w:after="0" w:afterAutospacing="0" w:before="0" w:beforeAutospacing="0"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Module tạo Ledger Entry tương ứng.</w:t>
            </w:r>
            <w:r>
              <w:rPr>
                <w:u w:val="none"/>
              </w:rPr>
            </w:r>
          </w:p>
          <w:p w14:paraId="00000010">
            <w:pPr>
              <w:widowControl w:val="false"/>
              <w:numPr>
                <w:ilvl w:val="0"/>
                <w:numId w:val="2"/>
              </w:numPr>
              <w:pBdr/>
              <w:spacing w:after="0" w:afterAutospacing="0" w:before="0" w:beforeAutospacing="0"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Ledger Entry lưu amount, balance type, entry type và reference.</w:t>
            </w:r>
            <w:r>
              <w:rPr>
                <w:u w:val="none"/>
              </w:rPr>
            </w:r>
          </w:p>
          <w:p w14:paraId="00000011">
            <w:pPr>
              <w:widowControl w:val="false"/>
              <w:numPr>
                <w:ilvl w:val="0"/>
                <w:numId w:val="2"/>
              </w:numPr>
              <w:pBdr/>
              <w:spacing w:after="0" w:afterAutospacing="0" w:before="0" w:beforeAutospacing="0"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Transaction được commit.</w:t>
            </w:r>
            <w:r>
              <w:rPr>
                <w:u w:val="none"/>
              </w:rPr>
            </w:r>
          </w:p>
          <w:p w14:paraId="00000012">
            <w:pPr>
              <w:widowControl w:val="false"/>
              <w:numPr>
                <w:ilvl w:val="0"/>
                <w:numId w:val="2"/>
              </w:numPr>
              <w:pBdr/>
              <w:spacing w:after="240" w:before="0" w:beforeAutospacing="0"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Hệ thống trả kết quả thành công.</w:t>
            </w:r>
            <w:r>
              <w:rPr>
                <w:u w:val="none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3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4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Reference ID đã được sử dụng.</w:t>
            </w:r>
            <w:r/>
          </w:p>
          <w:p w14:paraId="00000015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Amount không hợp lệ.</w:t>
            </w:r>
            <w:r/>
          </w:p>
          <w:p w14:paraId="00000016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Wallet update thành công nhưng Ledger Entry thất bại.</w:t>
            </w:r>
            <w:r/>
          </w:p>
          <w:p w14:paraId="00000017">
            <w:pPr>
              <w:widowControl w:val="false"/>
              <w:numPr>
                <w:ilvl w:val="0"/>
                <w:numId w:val="5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Transaction database bị rollback.</w:t>
            </w:r>
            <w:r/>
          </w:p>
        </w:tc>
      </w:tr>
    </w:tbl>
    <w:p w14:paraId="00000018">
      <w:pPr>
        <w:pBdr/>
        <w:spacing/>
        <w:ind/>
        <w:rPr/>
      </w:pPr>
      <w:r>
        <w:rPr>
          <w:rtl w:val="0"/>
        </w:rPr>
      </w:r>
      <w:r/>
    </w:p>
    <w:tbl>
      <w:tblPr>
        <w:tblStyle w:val="692"/>
        <w:tblW w:w="900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35"/>
        <w:tblGridChange w:id="1">
          <w:tblGrid>
            <w:gridCol w:w="1665"/>
            <w:gridCol w:w="7335"/>
          </w:tblGrid>
        </w:tblGridChange>
      </w:tblGrid>
      <w:tr>
        <w:trPr>
          <w:cantSplit w:val="false"/>
          <w:trHeight w:val="432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9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A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Đối soát số dư 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B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C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System Worker hoặc Admin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D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E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Dữ liệu Wallet và Ledger đã tồn tại.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F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0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Có kết quả đối soát.</w:t>
            </w:r>
            <w:r/>
          </w:p>
          <w:p w14:paraId="00000021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Sai lệch được ghi log và gửi cảnh báo.</w:t>
            </w:r>
            <w:r/>
          </w:p>
        </w:tc>
      </w:tr>
      <w:tr>
        <w:trPr>
          <w:cantSplit w:val="false"/>
          <w:trHeight w:val="2145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2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3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="240"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Worker chọn User và Asset cần đối soát.</w:t>
            </w:r>
            <w:r>
              <w:rPr>
                <w:u w:val="none"/>
              </w:rPr>
            </w:r>
          </w:p>
          <w:p w14:paraId="00000024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="0" w:beforeAutospacing="0"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Worker tính tổng biến động từ Ledger.</w:t>
            </w:r>
            <w:r>
              <w:rPr>
                <w:u w:val="none"/>
              </w:rPr>
            </w:r>
          </w:p>
          <w:p w14:paraId="00000025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="0" w:beforeAutospacing="0"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Worker so sánh với Wallet hiện tại.</w:t>
            </w:r>
            <w:r>
              <w:rPr>
                <w:u w:val="none"/>
              </w:rPr>
            </w:r>
          </w:p>
          <w:p w14:paraId="00000026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="0" w:beforeAutospacing="0"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Worker kiểm tra các Order, Trade, Deposit và Withdrawal liên quan.</w:t>
            </w:r>
            <w:r>
              <w:rPr>
                <w:u w:val="none"/>
              </w:rPr>
            </w:r>
          </w:p>
          <w:p w14:paraId="00000027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="0" w:beforeAutospacing="0"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Nếu dữ liệu khớp, hệ thống ghi trạng thái thành công.</w:t>
            </w:r>
            <w:r>
              <w:rPr>
                <w:u w:val="none"/>
              </w:rPr>
            </w:r>
          </w:p>
          <w:p w14:paraId="00000028">
            <w:pPr>
              <w:widowControl w:val="false"/>
              <w:numPr>
                <w:ilvl w:val="0"/>
                <w:numId w:val="3"/>
              </w:numPr>
              <w:pBdr/>
              <w:spacing w:after="240" w:before="0" w:beforeAutospacing="0"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Nếu dữ liệu lệch, hệ thống tạo cảnh báo.</w:t>
            </w:r>
            <w:r>
              <w:rPr>
                <w:u w:val="none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9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A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Ledger bị thiếu dữ liệu.</w:t>
            </w:r>
            <w:r>
              <w:rPr>
                <w:u w:val="none"/>
              </w:rPr>
            </w:r>
          </w:p>
          <w:p w14:paraId="0000002B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Reference không tồn tại.</w:t>
            </w:r>
            <w:r>
              <w:rPr>
                <w:u w:val="none"/>
              </w:rPr>
            </w:r>
          </w:p>
          <w:p w14:paraId="0000002C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Worker không thể hoàn tất phép tính.</w:t>
            </w:r>
            <w:r>
              <w:rPr>
                <w:u w:val="none"/>
              </w:rPr>
            </w:r>
          </w:p>
        </w:tc>
      </w:tr>
    </w:tbl>
    <w:p w14:paraId="00000032">
      <w:pPr>
        <w:pBdr/>
        <w:spacing/>
        <w:ind/>
        <w:rPr/>
      </w:pPr>
      <w:r>
        <w:rPr>
          <w:rtl w:val="0"/>
        </w:rPr>
      </w:r>
      <w:r/>
    </w:p>
    <w:p w14:paraId="0000004D">
      <w:pPr>
        <w:pBdr/>
        <w:spacing/>
        <w:ind/>
        <w:rPr/>
      </w:pPr>
      <w:r>
        <w:rPr>
          <w:rtl w:val="0"/>
        </w:rPr>
      </w:r>
      <w:r/>
    </w:p>
    <w:sectPr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vi" w:eastAsia="zh-C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82"/>
    <w:next w:val="682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82"/>
    <w:next w:val="682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82"/>
    <w:next w:val="682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6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6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6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68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6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68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68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69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82"/>
    <w:next w:val="68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82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82"/>
    <w:next w:val="68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8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8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8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82"/>
    <w:next w:val="68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8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2"/>
    <w:next w:val="682"/>
    <w:uiPriority w:val="39"/>
    <w:unhideWhenUsed/>
    <w:pPr>
      <w:pBdr/>
      <w:spacing w:after="100"/>
      <w:ind/>
    </w:pPr>
  </w:style>
  <w:style w:type="paragraph" w:styleId="190">
    <w:name w:val="toc 2"/>
    <w:basedOn w:val="682"/>
    <w:next w:val="682"/>
    <w:uiPriority w:val="39"/>
    <w:unhideWhenUsed/>
    <w:pPr>
      <w:pBdr/>
      <w:spacing w:after="100"/>
      <w:ind w:left="220"/>
    </w:pPr>
  </w:style>
  <w:style w:type="paragraph" w:styleId="191">
    <w:name w:val="toc 3"/>
    <w:basedOn w:val="682"/>
    <w:next w:val="682"/>
    <w:uiPriority w:val="39"/>
    <w:unhideWhenUsed/>
    <w:pPr>
      <w:pBdr/>
      <w:spacing w:after="100"/>
      <w:ind w:left="440"/>
    </w:pPr>
  </w:style>
  <w:style w:type="paragraph" w:styleId="192">
    <w:name w:val="toc 4"/>
    <w:basedOn w:val="682"/>
    <w:next w:val="682"/>
    <w:uiPriority w:val="39"/>
    <w:unhideWhenUsed/>
    <w:pPr>
      <w:pBdr/>
      <w:spacing w:after="100"/>
      <w:ind w:left="660"/>
    </w:pPr>
  </w:style>
  <w:style w:type="paragraph" w:styleId="193">
    <w:name w:val="toc 5"/>
    <w:basedOn w:val="682"/>
    <w:next w:val="682"/>
    <w:uiPriority w:val="39"/>
    <w:unhideWhenUsed/>
    <w:pPr>
      <w:pBdr/>
      <w:spacing w:after="100"/>
      <w:ind w:left="880"/>
    </w:pPr>
  </w:style>
  <w:style w:type="paragraph" w:styleId="194">
    <w:name w:val="toc 6"/>
    <w:basedOn w:val="682"/>
    <w:next w:val="682"/>
    <w:uiPriority w:val="39"/>
    <w:unhideWhenUsed/>
    <w:pPr>
      <w:pBdr/>
      <w:spacing w:after="100"/>
      <w:ind w:left="1100"/>
    </w:pPr>
  </w:style>
  <w:style w:type="paragraph" w:styleId="195">
    <w:name w:val="toc 7"/>
    <w:basedOn w:val="682"/>
    <w:next w:val="682"/>
    <w:uiPriority w:val="39"/>
    <w:unhideWhenUsed/>
    <w:pPr>
      <w:pBdr/>
      <w:spacing w:after="100"/>
      <w:ind w:left="1320"/>
    </w:pPr>
  </w:style>
  <w:style w:type="paragraph" w:styleId="196">
    <w:name w:val="toc 8"/>
    <w:basedOn w:val="682"/>
    <w:next w:val="682"/>
    <w:uiPriority w:val="39"/>
    <w:unhideWhenUsed/>
    <w:pPr>
      <w:pBdr/>
      <w:spacing w:after="100"/>
      <w:ind w:left="1540"/>
    </w:pPr>
  </w:style>
  <w:style w:type="paragraph" w:styleId="197">
    <w:name w:val="toc 9"/>
    <w:basedOn w:val="682"/>
    <w:next w:val="68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82"/>
    <w:next w:val="682"/>
    <w:uiPriority w:val="99"/>
    <w:unhideWhenUsed/>
    <w:pPr>
      <w:pBdr/>
      <w:spacing w:after="0" w:afterAutospacing="0"/>
      <w:ind/>
    </w:pPr>
  </w:style>
  <w:style w:type="table" w:styleId="681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82" w:default="1">
    <w:name w:val="Normal"/>
    <w:pPr>
      <w:pBdr/>
      <w:spacing/>
      <w:ind/>
    </w:pPr>
  </w:style>
  <w:style w:type="paragraph" w:styleId="683">
    <w:name w:val="Heading 1"/>
    <w:basedOn w:val="682"/>
    <w:next w:val="682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684">
    <w:name w:val="Heading 2"/>
    <w:basedOn w:val="682"/>
    <w:next w:val="682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685">
    <w:name w:val="Heading 3"/>
    <w:basedOn w:val="682"/>
    <w:next w:val="682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686">
    <w:name w:val="Heading 4"/>
    <w:basedOn w:val="682"/>
    <w:next w:val="682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687">
    <w:name w:val="Heading 5"/>
    <w:basedOn w:val="682"/>
    <w:next w:val="682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688">
    <w:name w:val="Heading 6"/>
    <w:basedOn w:val="682"/>
    <w:next w:val="682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689">
    <w:name w:val="Title"/>
    <w:basedOn w:val="682"/>
    <w:next w:val="682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690">
    <w:name w:val="Subtitle"/>
    <w:basedOn w:val="682"/>
    <w:next w:val="682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table" w:styleId="691">
    <w:name w:val="StGen0"/>
    <w:basedOn w:val="681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StGen1"/>
    <w:basedOn w:val="681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StGen2"/>
    <w:basedOn w:val="681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