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2-3-1701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Legislative  (§§ 2-1-100.5 — 2-7-205)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Legislative Services  (Art. 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3. Legislative Services  (Pts. 1 — 19)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Joint Technology Committee  (§§ 2-3-1701 — 2-3-1707)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2-3-1701.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As used in this part 17, unless the context otherwise requires: </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“Artificial intelligence” means systems that can: </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Perceive an environment through data acquisition, process and interpret the derived information, and take actions or imitate intelligent behavior to achieve a specified goal; and </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Learn from past behavior and results and adapt their behavior accordingly. </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“Committee” means the joint technology committee created in section 2-3-1702. </w:t>
      </w:r>
    </w:p>
    <w:p>
      <w:pPr>
        <w:keepNext w:val="0"/>
        <w:spacing w:before="120" w:after="0" w:line="300" w:lineRule="atLeast"/>
        <w:ind w:left="108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means a broad range of technologies, processes, and practices designed to protect networks, computers, programs, and data from attack, damage, or unauthorized access. </w:t>
      </w:r>
    </w:p>
    <w:p>
      <w:pPr>
        <w:keepNext w:val="0"/>
        <w:spacing w:before="120" w:after="0" w:line="300" w:lineRule="atLeast"/>
        <w:ind w:left="108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 xml:space="preserve">“Data privacy” means the collection and dissemination of data and technology and the public expectation of privacy. “Data privacy” also includes the way personally identifiable information or other sensitive information is collected, stored, used, and finally destroyed or deleted, in digital form or otherwise. </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 xml:space="preserve">“Disproportionately impacted community” has the meaning set forth in section 24-4-109 (2)(b)(II). </w:t>
      </w:r>
    </w:p>
    <w:p>
      <w:pPr>
        <w:keepNext w:val="0"/>
        <w:spacing w:before="120" w:after="0" w:line="300" w:lineRule="atLeast"/>
        <w:ind w:left="1080" w:right="0"/>
        <w:jc w:val="left"/>
      </w:pPr>
      <w:r>
        <w:rPr>
          <w:b/>
        </w:rPr>
        <w:t xml:space="preserve">(6)  </w:t>
      </w:r>
      <w:bookmarkStart w:id="8" w:name="Bookmark__6"/>
      <w:bookmarkEnd w:id="8"/>
      <w:r>
        <w:rPr>
          <w:rFonts w:ascii="times" w:eastAsia="times" w:hAnsi="times" w:cs="times"/>
          <w:b w:val="0"/>
          <w:i w:val="0"/>
          <w:strike w:val="0"/>
          <w:noProof w:val="0"/>
          <w:color w:val="000000"/>
          <w:position w:val="0"/>
          <w:sz w:val="24"/>
          <w:u w:val="none"/>
          <w:vertAlign w:val="baseline"/>
        </w:rPr>
        <w:t xml:space="preserve">“Facial recognition service” has the meaning set forth in section 24-18-301 (5). </w:t>
      </w:r>
    </w:p>
    <w:p>
      <w:pPr>
        <w:keepNext w:val="0"/>
        <w:spacing w:before="120" w:after="0" w:line="300" w:lineRule="atLeast"/>
        <w:ind w:left="1080" w:right="0"/>
        <w:jc w:val="left"/>
      </w:pPr>
      <w:r>
        <w:rPr>
          <w:b/>
        </w:rPr>
        <w:t xml:space="preserve">(7)  </w:t>
      </w:r>
      <w:bookmarkStart w:id="9" w:name="Bookmark__7"/>
      <w:bookmarkEnd w:id="9"/>
      <w:r>
        <w:rPr>
          <w:rFonts w:ascii="times" w:eastAsia="times" w:hAnsi="times" w:cs="times"/>
          <w:b w:val="0"/>
          <w:i w:val="0"/>
          <w:strike w:val="0"/>
          <w:noProof w:val="0"/>
          <w:color w:val="000000"/>
          <w:position w:val="0"/>
          <w:sz w:val="24"/>
          <w:u w:val="none"/>
          <w:vertAlign w:val="baseline"/>
        </w:rPr>
        <w:t xml:space="preserve">“Information technology” means technology, infrastructure, equipment, systems, or software that controls, displays, switches, interchanges, transmits, and receives data or information, including audio, video, graphics, and text. “Information technology” shall be construed broadly to incorporate future technologies that change or supplant those in effect as of September 7, 2021. </w:t>
      </w:r>
    </w:p>
    <w:p>
      <w:pPr>
        <w:keepNext w:val="0"/>
        <w:spacing w:before="120" w:after="0" w:line="300" w:lineRule="atLeast"/>
        <w:ind w:left="1080" w:right="0"/>
        <w:jc w:val="left"/>
      </w:pPr>
      <w:r>
        <w:rPr>
          <w:b/>
        </w:rPr>
        <w:t xml:space="preserve">(8)  </w:t>
      </w:r>
      <w:bookmarkStart w:id="10" w:name="Bookmark__8"/>
      <w:bookmarkEnd w:id="10"/>
      <w:r>
        <w:rPr>
          <w:rFonts w:ascii="times" w:eastAsia="times" w:hAnsi="times" w:cs="times"/>
          <w:b w:val="0"/>
          <w:i w:val="0"/>
          <w:strike w:val="0"/>
          <w:noProof w:val="0"/>
          <w:color w:val="000000"/>
          <w:position w:val="0"/>
          <w:sz w:val="24"/>
          <w:u w:val="none"/>
          <w:vertAlign w:val="baseline"/>
        </w:rPr>
        <w:t xml:space="preserve">“Information technology budget request” means a budget request from a state agency or state institution of higher education for the installation, development, maintenance, or upgrade of information technology, including the purchase of services from the office on the condition that the use of such services is the most cost beneficial option or falls within the duties and responsibilities of the office or the office’s chief information officer as described in sections 24-37.5-105 and 24-37.5-106. “Information technology budget request” does not include budget requests that are primarily operational in nature or a budget request where the majority of funding will be used to support or modify state staffing levels. </w:t>
      </w:r>
    </w:p>
    <w:p>
      <w:pPr>
        <w:keepNext w:val="0"/>
        <w:spacing w:before="120" w:after="0" w:line="300" w:lineRule="atLeast"/>
        <w:ind w:left="1080" w:right="0"/>
        <w:jc w:val="left"/>
      </w:pPr>
      <w:r>
        <w:rPr>
          <w:b/>
        </w:rPr>
        <w:t xml:space="preserve">(9)  </w:t>
      </w:r>
      <w:bookmarkStart w:id="11" w:name="Bookmark__9"/>
      <w:bookmarkEnd w:id="11"/>
      <w:r>
        <w:rPr>
          <w:rFonts w:ascii="times" w:eastAsia="times" w:hAnsi="times" w:cs="times"/>
          <w:b w:val="0"/>
          <w:i w:val="0"/>
          <w:strike w:val="0"/>
          <w:noProof w:val="0"/>
          <w:color w:val="000000"/>
          <w:position w:val="0"/>
          <w:sz w:val="24"/>
          <w:u w:val="none"/>
          <w:vertAlign w:val="baseline"/>
        </w:rPr>
        <w:t xml:space="preserve">“Office of information technology” or “office” means the office of information technology created in section 24-37.5-103. </w:t>
      </w:r>
    </w:p>
    <w:p>
      <w:pPr>
        <w:keepNext w:val="0"/>
        <w:spacing w:before="120" w:after="0" w:line="300" w:lineRule="atLeast"/>
        <w:ind w:left="1080" w:right="0"/>
        <w:jc w:val="left"/>
      </w:pPr>
      <w:r>
        <w:rPr>
          <w:b/>
        </w:rPr>
        <w:t xml:space="preserve">(10)  </w:t>
      </w:r>
      <w:bookmarkStart w:id="12" w:name="Bookmark__10"/>
      <w:bookmarkEnd w:id="12"/>
      <w:r>
        <w:rPr>
          <w:rFonts w:ascii="times" w:eastAsia="times" w:hAnsi="times" w:cs="times"/>
          <w:b w:val="0"/>
          <w:i w:val="0"/>
          <w:strike w:val="0"/>
          <w:noProof w:val="0"/>
          <w:color w:val="000000"/>
          <w:position w:val="0"/>
          <w:sz w:val="24"/>
          <w:u w:val="none"/>
          <w:vertAlign w:val="baseline"/>
        </w:rPr>
        <w:t xml:space="preserve">“Oversee” means reviews of major information technology projects as defined in section 24-37.5-102 (19), reviews of the office’s budget requests for information technology projects, and ensuring that information technology projects follow best practice standards as established by the office. “Oversee” does not include interference with the office’s general responsibilities set forth in this article 3. </w:t>
      </w:r>
    </w:p>
    <w:p>
      <w:pPr>
        <w:keepNext w:val="0"/>
        <w:spacing w:before="120" w:after="0" w:line="300" w:lineRule="atLeast"/>
        <w:ind w:left="1080" w:right="0"/>
        <w:jc w:val="left"/>
      </w:pPr>
      <w:r>
        <w:rPr>
          <w:b/>
        </w:rPr>
        <w:t xml:space="preserve">(11)  </w:t>
      </w:r>
      <w:bookmarkStart w:id="13" w:name="Bookmark__11"/>
      <w:bookmarkEnd w:id="13"/>
      <w:r>
        <w:rPr>
          <w:rFonts w:ascii="times" w:eastAsia="times" w:hAnsi="times" w:cs="times"/>
          <w:b w:val="0"/>
          <w:i w:val="0"/>
          <w:strike w:val="0"/>
          <w:noProof w:val="0"/>
          <w:color w:val="000000"/>
          <w:position w:val="0"/>
          <w:sz w:val="24"/>
          <w:u w:val="none"/>
          <w:vertAlign w:val="baseline"/>
        </w:rPr>
        <w:t xml:space="preserve">“State agency” means all of the departments, divisions, commissions, boards, bureaus, and institutions in the executive branch of the state government. “State agency” does not include the legislative or judicial department, the department of law, the department of state, the department of the treasury, or state-supported institutions of higher education, including the Auraria higher education center established in article 70 of title 23. </w:t>
      </w:r>
    </w:p>
    <w:p>
      <w:pPr>
        <w:keepNext w:val="0"/>
        <w:spacing w:before="120" w:after="0" w:line="300" w:lineRule="atLeast"/>
        <w:ind w:left="1080" w:right="0"/>
        <w:jc w:val="left"/>
      </w:pPr>
      <w:r>
        <w:rPr>
          <w:b/>
        </w:rPr>
        <w:t xml:space="preserve">(12)  </w:t>
      </w:r>
      <w:bookmarkStart w:id="14" w:name="Bookmark__12"/>
      <w:bookmarkEnd w:id="14"/>
      <w:r>
        <w:rPr>
          <w:rFonts w:ascii="times" w:eastAsia="times" w:hAnsi="times" w:cs="times"/>
          <w:b w:val="0"/>
          <w:i w:val="0"/>
          <w:strike w:val="0"/>
          <w:noProof w:val="0"/>
          <w:color w:val="000000"/>
          <w:position w:val="0"/>
          <w:sz w:val="24"/>
          <w:u w:val="none"/>
          <w:vertAlign w:val="baseline"/>
        </w:rPr>
        <w:t>“Task force” means the task force for the consideration of facial recognition services created in section 2-3-1707.</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spacing w:line="200" w:lineRule="exact"/>
      </w:pPr>
    </w:p>
    <w:p>
      <w:pPr>
        <w:keepNext w:val="0"/>
        <w:spacing w:before="120" w:after="0" w:line="300" w:lineRule="atLeast"/>
        <w:ind w:left="0" w:right="0" w:firstLine="0"/>
        <w:jc w:val="left"/>
      </w:pPr>
      <w:r>
        <w:rPr>
          <w:rFonts w:ascii="times" w:eastAsia="times" w:hAnsi="times" w:cs="times"/>
          <w:b/>
          <w:i w:val="0"/>
          <w:strike w:val="0"/>
          <w:noProof w:val="0"/>
          <w:color w:val="000000"/>
          <w:position w:val="0"/>
          <w:sz w:val="24"/>
          <w:u w:val="none"/>
          <w:vertAlign w:val="baseline"/>
        </w:rPr>
        <w:t>Source:</w:t>
      </w:r>
      <w:r>
        <w:rPr>
          <w:rFonts w:ascii="times" w:eastAsia="times" w:hAnsi="times" w:cs="times"/>
          <w:b/>
          <w:i w:val="0"/>
          <w:strike w:val="0"/>
          <w:noProof w:val="0"/>
          <w:color w:val="000000"/>
          <w:position w:val="0"/>
          <w:sz w:val="24"/>
          <w:u w:val="none"/>
          <w:vertAlign w:val="baseline"/>
        </w:rPr>
        <w:t>L. 2013:</w:t>
      </w:r>
      <w:r>
        <w:rPr>
          <w:rFonts w:ascii="times" w:eastAsia="times" w:hAnsi="times" w:cs="times"/>
          <w:b w:val="0"/>
          <w:i w:val="0"/>
          <w:strike w:val="0"/>
          <w:noProof w:val="0"/>
          <w:color w:val="000000"/>
          <w:position w:val="0"/>
          <w:sz w:val="24"/>
          <w:u w:val="none"/>
          <w:vertAlign w:val="baseline"/>
        </w:rPr>
        <w:t>Entire part added,(HB 13-1079), ch. 246, p. 1187, § 1, effective May 18.</w:t>
      </w:r>
      <w:r>
        <w:rPr>
          <w:rFonts w:ascii="times" w:eastAsia="times" w:hAnsi="times" w:cs="times"/>
          <w:b/>
          <w:i w:val="0"/>
          <w:strike w:val="0"/>
          <w:noProof w:val="0"/>
          <w:color w:val="000000"/>
          <w:position w:val="0"/>
          <w:sz w:val="24"/>
          <w:u w:val="none"/>
          <w:vertAlign w:val="baseline"/>
        </w:rPr>
        <w:t>L. 2014:</w:t>
      </w:r>
      <w:r>
        <w:rPr>
          <w:rFonts w:ascii="times" w:eastAsia="times" w:hAnsi="times" w:cs="times"/>
          <w:b w:val="0"/>
          <w:i w:val="0"/>
          <w:strike w:val="0"/>
          <w:noProof w:val="0"/>
          <w:color w:val="000000"/>
          <w:position w:val="0"/>
          <w:sz w:val="24"/>
          <w:u w:val="none"/>
          <w:vertAlign w:val="baseline"/>
        </w:rPr>
        <w:t>(2.5) added and (2.5)(b) amended,(HB 14-1395), ch. 309, pp. 1304, 1309, §§ 1, 9, effective May 31.</w:t>
      </w:r>
      <w:r>
        <w:rPr>
          <w:rFonts w:ascii="times" w:eastAsia="times" w:hAnsi="times" w:cs="times"/>
          <w:b/>
          <w:i w:val="0"/>
          <w:strike w:val="0"/>
          <w:noProof w:val="0"/>
          <w:color w:val="000000"/>
          <w:position w:val="0"/>
          <w:sz w:val="24"/>
          <w:u w:val="none"/>
          <w:vertAlign w:val="baseline"/>
        </w:rPr>
        <w:t>L. 2017:</w:t>
      </w:r>
      <w:r>
        <w:rPr>
          <w:rFonts w:ascii="times" w:eastAsia="times" w:hAnsi="times" w:cs="times"/>
          <w:b w:val="0"/>
          <w:i w:val="0"/>
          <w:strike w:val="0"/>
          <w:noProof w:val="0"/>
          <w:color w:val="000000"/>
          <w:position w:val="0"/>
          <w:sz w:val="24"/>
          <w:u w:val="none"/>
          <w:vertAlign w:val="baseline"/>
        </w:rPr>
        <w:t>(1.3) and (1.7) added and (4) amended,(SB 17-304), ch. 252, p. 1054, § 1, effective August 9.</w:t>
      </w:r>
      <w:r>
        <w:rPr>
          <w:rFonts w:ascii="times" w:eastAsia="times" w:hAnsi="times" w:cs="times"/>
          <w:b/>
          <w:i w:val="0"/>
          <w:strike w:val="0"/>
          <w:noProof w:val="0"/>
          <w:color w:val="000000"/>
          <w:position w:val="0"/>
          <w:sz w:val="24"/>
          <w:u w:val="none"/>
          <w:vertAlign w:val="baseline"/>
        </w:rPr>
        <w:t>L. 2021:</w:t>
      </w:r>
      <w:r>
        <w:rPr>
          <w:rFonts w:ascii="times" w:eastAsia="times" w:hAnsi="times" w:cs="times"/>
          <w:b w:val="0"/>
          <w:i w:val="0"/>
          <w:strike w:val="0"/>
          <w:noProof w:val="0"/>
          <w:color w:val="000000"/>
          <w:position w:val="0"/>
          <w:sz w:val="24"/>
          <w:u w:val="none"/>
          <w:vertAlign w:val="baseline"/>
        </w:rPr>
        <w:t>(2), (2.5), and (4) amended,(HB 21-1236), ch. 211, p. 1093, § 1, effective September 7.</w:t>
      </w:r>
      <w:r>
        <w:rPr>
          <w:rFonts w:ascii="times" w:eastAsia="times" w:hAnsi="times" w:cs="times"/>
          <w:b/>
          <w:i w:val="0"/>
          <w:strike w:val="0"/>
          <w:noProof w:val="0"/>
          <w:color w:val="000000"/>
          <w:position w:val="0"/>
          <w:sz w:val="24"/>
          <w:u w:val="none"/>
          <w:vertAlign w:val="baseline"/>
        </w:rPr>
        <w:t>L. 2022:</w:t>
      </w:r>
      <w:r>
        <w:rPr>
          <w:rFonts w:ascii="times" w:eastAsia="times" w:hAnsi="times" w:cs="times"/>
          <w:b w:val="0"/>
          <w:i w:val="0"/>
          <w:strike w:val="0"/>
          <w:noProof w:val="0"/>
          <w:color w:val="000000"/>
          <w:position w:val="0"/>
          <w:sz w:val="24"/>
          <w:u w:val="none"/>
          <w:vertAlign w:val="baseline"/>
        </w:rPr>
        <w:t>Entire section amended,(SB 22-113), ch. 463, p. 3282, § 3, effective August 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C.R.S. 2-3-1701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C.R.S. 2-3-1701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12</vt:lpwstr>
  </property>
  <property fmtid="{D5CDD505-2E9C-101B-9397-08002B2CF9AE}" pid="3" name="LADocCount">
    <vt:lpwstr>1</vt:lpwstr>
  </property>
  <property fmtid="{D5CDD505-2E9C-101B-9397-08002B2CF9AE}" pid="4" name="LADocumentID:12">
    <vt:lpwstr>Doc::urn:hlct:15|contextualFeaturePermID::1519360</vt:lpwstr>
  </property>
  <property fmtid="{D5CDD505-2E9C-101B-9397-08002B2CF9AE}" pid="5" name="UserPermID">
    <vt:lpwstr>urn:user:PA186163333</vt:lpwstr>
  </property>
</Properties>
</file>