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38-13-1407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Property - Real and Personal  (§§ 38-1-101 — 38-53-110)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Unclaimed Property  (Art.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13. Revised Uniform Unclaimed Property Act  (Pts. 13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14. Confidentiality and Security of Information  (§§ 38-13-1401 — 38-13-1408)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38-13-1407.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Except to the extent prohibited by law other than this article 13, the administrator or administrator’s agent shall notify a holder as soon as practicable of: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Suspected loss, misuse, or unauthorized access, disclosure, modification, or destruction of confidential information obtained from the holder in the possession of the administrator or an administrator’s agent; and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Any interference with operations in any system hosting or housing confidential information that: </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 xml:space="preserve">Compromises the security, confidentiality, or integrity of the information; or </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 xml:space="preserve">Creates a substantial risk of identity fraud or theft. </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 xml:space="preserve">Except as necessary to inform an insurer, attorney, investigator, or others as required by law, the administrator and an administrator’s agent shall not disclose, without the express consent in a record of the holder, an event described in subsection (1) of this section to a person whose confidential information was supplied by the holder. </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If an event described in subsection (1) of this section occurs, the administrator and the administrator’s agent shall: </w:t>
      </w:r>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 xml:space="preserve">Take action necessary for the holder to understand and minimize the effects of the event and determine its scope; and </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 xml:space="preserve">Cooperate with the holder with respect to: </w:t>
      </w:r>
    </w:p>
    <w:p>
      <w:pPr>
        <w:keepNext w:val="0"/>
        <w:spacing w:before="120" w:after="0" w:line="300" w:lineRule="atLeast"/>
        <w:ind w:left="1440" w:right="0"/>
        <w:jc w:val="left"/>
      </w:pPr>
      <w:r>
        <w:rPr>
          <w:b/>
        </w:rPr>
        <w:t xml:space="preserve">(I)  </w:t>
      </w:r>
      <w:bookmarkStart w:id="10" w:name="Bookmark__3_b_i"/>
      <w:bookmarkEnd w:id="10"/>
      <w:r>
        <w:rPr>
          <w:rFonts w:ascii="times" w:eastAsia="times" w:hAnsi="times" w:cs="times"/>
          <w:b w:val="0"/>
          <w:i w:val="0"/>
          <w:strike w:val="0"/>
          <w:noProof w:val="0"/>
          <w:color w:val="000000"/>
          <w:position w:val="0"/>
          <w:sz w:val="24"/>
          <w:u w:val="none"/>
          <w:vertAlign w:val="baseline"/>
        </w:rPr>
        <w:t xml:space="preserve">Any notification required by law concerning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other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w:t>
      </w:r>
    </w:p>
    <w:p>
      <w:pPr>
        <w:keepNext w:val="0"/>
        <w:spacing w:before="120" w:after="0" w:line="300" w:lineRule="atLeast"/>
        <w:ind w:left="1440" w:right="0"/>
        <w:jc w:val="left"/>
      </w:pPr>
      <w:r>
        <w:rPr>
          <w:b/>
        </w:rPr>
        <w:t xml:space="preserve">(II)  </w:t>
      </w:r>
      <w:bookmarkStart w:id="11" w:name="Bookmark__3_b_ii"/>
      <w:bookmarkEnd w:id="11"/>
      <w:r>
        <w:rPr>
          <w:rFonts w:ascii="times" w:eastAsia="times" w:hAnsi="times" w:cs="times"/>
          <w:b w:val="0"/>
          <w:i w:val="0"/>
          <w:strike w:val="0"/>
          <w:noProof w:val="0"/>
          <w:color w:val="000000"/>
          <w:position w:val="0"/>
          <w:sz w:val="24"/>
          <w:u w:val="none"/>
          <w:vertAlign w:val="baseline"/>
        </w:rPr>
        <w:t>A regulatory inquiry, litigation, or similar action.</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2019:</w:t>
      </w:r>
      <w:r>
        <w:rPr>
          <w:rFonts w:ascii="times" w:eastAsia="times" w:hAnsi="times" w:cs="times"/>
          <w:b w:val="0"/>
          <w:i w:val="0"/>
          <w:strike w:val="0"/>
          <w:noProof w:val="0"/>
          <w:color w:val="000000"/>
          <w:position w:val="0"/>
          <w:sz w:val="24"/>
          <w:u w:val="none"/>
          <w:vertAlign w:val="baseline"/>
        </w:rPr>
        <w:t>Entire article R&amp;RE,(SB 19-088), ch. 110, p. 460, § 1,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38-13-1407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38-13-1407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