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21a-421j</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21a Consumer Protection (Chs. 416 — 420l)</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420h Regulation of Adult-Use Cannabis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Licensing and Regulation of Cannabis Establishments (§§ 21a-420 — 21a-421r)</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21a-421j. Regulations required to implement RERACA. Policies and procedures.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“total THC” has the same meaning as provided in section 21a-240, as amended by this act.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commissioner shall adopt regulations in accordance with chapter 54 to implement the provisions of RERACA. Notwithstanding the requirements of sections 4-168 to 4-172, inclusive, in order to effectuate the purposes of RERACA and protect public health and safety, prior to adopting such regulations the commissioner shall issue policies and procedures to implement the provisions of RERACA that shall have the force and effect of law. The commissioner shall post all policies and procedures on the department’s Internet web site and submit such policies and procedures to the Secretary of the State for posting on the eRegulations System, at least fifteen days prior to the effective date of any policy or procedure. The commissioner shall also provide such policies and procedures, in a manner prescribed by the commissioner, to each licensee. Any such policy or procedure shall no longer be effective upon the earlier of either the adoption of the policy or procedure as a final regulation under section 4-172 or forty-eight months from June 22, 2021, if such regulations have not been submitted to the legislative regulation review committee for consideration under section 4-170. The commissioner shall issue policies and procedures and thereafter final regulations that include, but are not limited to,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Setting appropriate dosage, potency, concentration and serving size limits and delineation requirements for cannabis, provided a standardized serving of edible cannabis product or beverage, other than a medical marijuana product, shall contain not more than five milligrams of THC.</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Requiring that each single standardized serving of cannabis product in a multiple-serving edible product or beverage is physically demarked in a way that enables a reasonable person to determine how much of the product constitutes a single serving and a maximum amount of THC per multiple-serving edible cannabis product or beverage.</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Requiring that, if it is impracticable to clearly demark every standardized serving of cannabis product or to make each standardized serving easily separable in an edible cannabis product or beverage, the product, other than cannabis concentrate or medical marijuana product, shall contain not more than five milligrams of THC per unit of sale.</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Establishing, in consultation with the Department of Mental Health and Addiction Services, consumer health materials that shall be posted or distributed, as specified by the commissioner, by cannabis establishments to maximize dissemination to cannabis consumers. Consumer health materials may include pamphlets, packaging inserts, signage, online and printed advertisements and advisories and printed health materials.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Imposing labeling and packaging requirements for cannabis sold by a cannabis establishment that include, but are not limited to, the following:</w:t>
      </w:r>
    </w:p>
    <w:p>
      <w:pPr>
        <w:keepNext w:val="0"/>
        <w:spacing w:before="120" w:after="0" w:line="300" w:lineRule="atLeast"/>
        <w:ind w:left="1440" w:right="0"/>
        <w:jc w:val="left"/>
      </w:pPr>
      <w:r>
        <w:rPr>
          <w:b/>
        </w:rPr>
        <w:t xml:space="preserve">(A)  </w:t>
      </w:r>
      <w:bookmarkStart w:id="8" w:name="Bookmark__b_5_a"/>
      <w:bookmarkEnd w:id="8"/>
      <w:r>
        <w:rPr>
          <w:rFonts w:ascii="times" w:eastAsia="times" w:hAnsi="times" w:cs="times"/>
          <w:b w:val="0"/>
          <w:i w:val="0"/>
          <w:strike w:val="0"/>
          <w:noProof w:val="0"/>
          <w:color w:val="000000"/>
          <w:position w:val="0"/>
          <w:sz w:val="24"/>
          <w:u w:val="none"/>
          <w:vertAlign w:val="baseline"/>
        </w:rPr>
        <w:t>Inclusion of universal symbols to indicate that cannabis, or a cannabis product, contains THC and is not legal or safe for individuals younger than twenty-one years of age, and prescribe how such product and product packaging shall utilize and exhibit such symbols.</w:t>
      </w:r>
    </w:p>
    <w:p>
      <w:pPr>
        <w:keepNext w:val="0"/>
        <w:spacing w:before="120" w:after="0" w:line="300" w:lineRule="atLeast"/>
        <w:ind w:left="1440" w:right="0"/>
        <w:jc w:val="left"/>
      </w:pPr>
      <w:r>
        <w:rPr>
          <w:b/>
        </w:rPr>
        <w:t xml:space="preserve">(B)  </w:t>
      </w:r>
      <w:bookmarkStart w:id="9" w:name="Bookmark__b_5_b"/>
      <w:bookmarkEnd w:id="9"/>
      <w:r>
        <w:rPr>
          <w:rFonts w:ascii="times" w:eastAsia="times" w:hAnsi="times" w:cs="times"/>
          <w:b w:val="0"/>
          <w:i w:val="0"/>
          <w:strike w:val="0"/>
          <w:noProof w:val="0"/>
          <w:color w:val="000000"/>
          <w:position w:val="0"/>
          <w:sz w:val="24"/>
          <w:u w:val="none"/>
          <w:vertAlign w:val="baseline"/>
        </w:rPr>
        <w:t>A disclosure concerning the length of time it typically takes for the cannabis to affect an individual, including that certain forms of cannabis take longer to have an effect.</w:t>
      </w:r>
    </w:p>
    <w:p>
      <w:pPr>
        <w:keepNext w:val="0"/>
        <w:spacing w:before="120" w:after="0" w:line="300" w:lineRule="atLeast"/>
        <w:ind w:left="1440" w:right="0"/>
        <w:jc w:val="left"/>
      </w:pPr>
      <w:r>
        <w:rPr>
          <w:b/>
        </w:rPr>
        <w:t xml:space="preserve">(C)  </w:t>
      </w:r>
      <w:bookmarkStart w:id="10" w:name="Bookmark__b_5_c"/>
      <w:bookmarkEnd w:id="10"/>
      <w:r>
        <w:rPr>
          <w:rFonts w:ascii="times" w:eastAsia="times" w:hAnsi="times" w:cs="times"/>
          <w:b w:val="0"/>
          <w:i w:val="0"/>
          <w:strike w:val="0"/>
          <w:noProof w:val="0"/>
          <w:color w:val="000000"/>
          <w:position w:val="0"/>
          <w:sz w:val="24"/>
          <w:u w:val="none"/>
          <w:vertAlign w:val="baseline"/>
        </w:rPr>
        <w:t>A notation of the amount of cannabis the cannabis product is considered the equivalent to.</w:t>
      </w:r>
    </w:p>
    <w:p>
      <w:pPr>
        <w:keepNext w:val="0"/>
        <w:spacing w:before="120" w:after="0" w:line="300" w:lineRule="atLeast"/>
        <w:ind w:left="1440" w:right="0"/>
        <w:jc w:val="left"/>
      </w:pPr>
      <w:r>
        <w:rPr>
          <w:b/>
        </w:rPr>
        <w:t xml:space="preserve">(D)  </w:t>
      </w:r>
      <w:bookmarkStart w:id="11" w:name="Bookmark__b_5_d"/>
      <w:bookmarkEnd w:id="11"/>
      <w:r>
        <w:rPr>
          <w:rFonts w:ascii="times" w:eastAsia="times" w:hAnsi="times" w:cs="times"/>
          <w:b w:val="0"/>
          <w:i w:val="0"/>
          <w:strike w:val="0"/>
          <w:noProof w:val="0"/>
          <w:color w:val="000000"/>
          <w:position w:val="0"/>
          <w:sz w:val="24"/>
          <w:u w:val="none"/>
          <w:vertAlign w:val="baseline"/>
        </w:rPr>
        <w:t>A list of ingredients and all additives for cannabis.</w:t>
      </w:r>
    </w:p>
    <w:p>
      <w:pPr>
        <w:keepNext w:val="0"/>
        <w:spacing w:before="120" w:after="0" w:line="300" w:lineRule="atLeast"/>
        <w:ind w:left="1440" w:right="0"/>
        <w:jc w:val="left"/>
      </w:pPr>
      <w:r>
        <w:rPr>
          <w:b/>
        </w:rPr>
        <w:t xml:space="preserve">(E)  </w:t>
      </w:r>
      <w:bookmarkStart w:id="12" w:name="Bookmark__b_5_e"/>
      <w:bookmarkEnd w:id="12"/>
      <w:r>
        <w:rPr>
          <w:rFonts w:ascii="times" w:eastAsia="times" w:hAnsi="times" w:cs="times"/>
          <w:b w:val="0"/>
          <w:i w:val="0"/>
          <w:strike w:val="0"/>
          <w:noProof w:val="0"/>
          <w:color w:val="000000"/>
          <w:position w:val="0"/>
          <w:sz w:val="24"/>
          <w:u w:val="none"/>
          <w:vertAlign w:val="baseline"/>
        </w:rPr>
        <w:t>Child-resistant, tamper-resistant and light-resistant packaging, including requiring that an edible product be individually wrapped. For the purposes of this subparagraph, packaging shall be deemed to be (i) child-resistant if the packaging satisfies the standard for special packaging established in 16 CFR 1700.1(b)(4), as amended from time to time, (ii) tamper-resistant if the packaging has at least one barrier to, or indicator of, entry that would preclude the contents of such packaging from being accessed or adulterated without indicating to a reasonable person that such packaging has been breached, and (iii) light-resistant if the packaging is entirely and uniformly opaque and protects the entirety of the contents of such packaging from the effects of light.</w:t>
      </w:r>
    </w:p>
    <w:p>
      <w:pPr>
        <w:keepNext w:val="0"/>
        <w:spacing w:before="120" w:after="0" w:line="300" w:lineRule="atLeast"/>
        <w:ind w:left="1440" w:right="0"/>
        <w:jc w:val="left"/>
      </w:pPr>
      <w:r>
        <w:rPr>
          <w:b/>
        </w:rPr>
        <w:t xml:space="preserve">(F)  </w:t>
      </w:r>
      <w:bookmarkStart w:id="13" w:name="Bookmark__b_5_f"/>
      <w:bookmarkEnd w:id="13"/>
      <w:r>
        <w:rPr>
          <w:rFonts w:ascii="times" w:eastAsia="times" w:hAnsi="times" w:cs="times"/>
          <w:b w:val="0"/>
          <w:i w:val="0"/>
          <w:strike w:val="0"/>
          <w:noProof w:val="0"/>
          <w:color w:val="000000"/>
          <w:position w:val="0"/>
          <w:sz w:val="24"/>
          <w:u w:val="none"/>
          <w:vertAlign w:val="baseline"/>
        </w:rPr>
        <w:t>Packaging for cannabis intended for multiple servings to be resealable in such a manner so as to render such packaging continuously child-resistant, as described in subparagraph (E)(i) of this subdivision, and preserve the integrity of the contents of such packaging.</w:t>
      </w:r>
    </w:p>
    <w:p>
      <w:pPr>
        <w:keepNext w:val="0"/>
        <w:spacing w:before="120" w:after="0" w:line="300" w:lineRule="atLeast"/>
        <w:ind w:left="1440" w:right="0"/>
        <w:jc w:val="left"/>
      </w:pPr>
      <w:r>
        <w:rPr>
          <w:b/>
        </w:rPr>
        <w:t xml:space="preserve">(G)  </w:t>
      </w:r>
      <w:bookmarkStart w:id="14" w:name="Bookmark__b_5_g"/>
      <w:bookmarkEnd w:id="14"/>
      <w:r>
        <w:rPr>
          <w:rFonts w:ascii="times" w:eastAsia="times" w:hAnsi="times" w:cs="times"/>
          <w:b w:val="0"/>
          <w:i w:val="0"/>
          <w:strike w:val="0"/>
          <w:noProof w:val="0"/>
          <w:color w:val="000000"/>
          <w:position w:val="0"/>
          <w:sz w:val="24"/>
          <w:u w:val="none"/>
          <w:vertAlign w:val="baseline"/>
        </w:rPr>
        <w:t>Impervious packaging that protects the contents of such packaging from contamination and exposure to any toxic or harmful substance, including, but not limited to, any glue or other adhesive or substance that is incorporated in such packaging.</w:t>
      </w:r>
    </w:p>
    <w:p>
      <w:pPr>
        <w:keepNext w:val="0"/>
        <w:spacing w:before="120" w:after="0" w:line="300" w:lineRule="atLeast"/>
        <w:ind w:left="1440" w:right="0"/>
        <w:jc w:val="left"/>
      </w:pPr>
      <w:r>
        <w:rPr>
          <w:b/>
        </w:rPr>
        <w:t xml:space="preserve">(H)  </w:t>
      </w:r>
      <w:bookmarkStart w:id="15" w:name="Bookmark__b_5_h"/>
      <w:bookmarkEnd w:id="15"/>
      <w:r>
        <w:rPr>
          <w:rFonts w:ascii="times" w:eastAsia="times" w:hAnsi="times" w:cs="times"/>
          <w:b w:val="0"/>
          <w:i w:val="0"/>
          <w:strike w:val="0"/>
          <w:noProof w:val="0"/>
          <w:color w:val="000000"/>
          <w:position w:val="0"/>
          <w:sz w:val="24"/>
          <w:u w:val="none"/>
          <w:vertAlign w:val="baseline"/>
        </w:rPr>
        <w:t>Product tracking information sufficient to determine where and when the cannabis was grown and manufactured such that a product recall could be effectuated.</w:t>
      </w:r>
    </w:p>
    <w:p>
      <w:pPr>
        <w:keepNext w:val="0"/>
        <w:spacing w:before="120" w:after="0" w:line="300" w:lineRule="atLeast"/>
        <w:ind w:left="1440" w:right="0"/>
        <w:jc w:val="left"/>
      </w:pPr>
      <w:r>
        <w:rPr>
          <w:b/>
        </w:rPr>
        <w:t xml:space="preserve">(I)  </w:t>
      </w:r>
      <w:bookmarkStart w:id="16" w:name="Bookmark__b_5_i"/>
      <w:bookmarkEnd w:id="16"/>
      <w:r>
        <w:rPr>
          <w:rFonts w:ascii="times" w:eastAsia="times" w:hAnsi="times" w:cs="times"/>
          <w:b w:val="0"/>
          <w:i w:val="0"/>
          <w:strike w:val="0"/>
          <w:noProof w:val="0"/>
          <w:color w:val="000000"/>
          <w:position w:val="0"/>
          <w:sz w:val="24"/>
          <w:u w:val="none"/>
          <w:vertAlign w:val="baseline"/>
        </w:rPr>
        <w:t>A net weight statement.</w:t>
      </w:r>
    </w:p>
    <w:p>
      <w:pPr>
        <w:keepNext w:val="0"/>
        <w:spacing w:before="120" w:after="0" w:line="300" w:lineRule="atLeast"/>
        <w:ind w:left="1440" w:right="0"/>
        <w:jc w:val="left"/>
      </w:pPr>
      <w:r>
        <w:rPr>
          <w:b/>
        </w:rPr>
        <w:t xml:space="preserve">(J)  </w:t>
      </w:r>
      <w:bookmarkStart w:id="17" w:name="Bookmark__b_5_j"/>
      <w:bookmarkEnd w:id="17"/>
      <w:r>
        <w:rPr>
          <w:rFonts w:ascii="times" w:eastAsia="times" w:hAnsi="times" w:cs="times"/>
          <w:b w:val="0"/>
          <w:i w:val="0"/>
          <w:strike w:val="0"/>
          <w:noProof w:val="0"/>
          <w:color w:val="000000"/>
          <w:position w:val="0"/>
          <w:sz w:val="24"/>
          <w:u w:val="none"/>
          <w:vertAlign w:val="baseline"/>
        </w:rPr>
        <w:t>A recommended use by or expiration date.</w:t>
      </w:r>
    </w:p>
    <w:p>
      <w:pPr>
        <w:keepNext w:val="0"/>
        <w:spacing w:before="120" w:after="0" w:line="300" w:lineRule="atLeast"/>
        <w:ind w:left="1440" w:right="0"/>
        <w:jc w:val="left"/>
      </w:pPr>
      <w:r>
        <w:rPr>
          <w:b/>
        </w:rPr>
        <w:t xml:space="preserve">(K)  </w:t>
      </w:r>
      <w:bookmarkStart w:id="18" w:name="Bookmark__b_5_k"/>
      <w:bookmarkEnd w:id="18"/>
      <w:r>
        <w:rPr>
          <w:rFonts w:ascii="times" w:eastAsia="times" w:hAnsi="times" w:cs="times"/>
          <w:b w:val="0"/>
          <w:i w:val="0"/>
          <w:strike w:val="0"/>
          <w:noProof w:val="0"/>
          <w:color w:val="000000"/>
          <w:position w:val="0"/>
          <w:sz w:val="24"/>
          <w:u w:val="none"/>
          <w:vertAlign w:val="baseline"/>
        </w:rPr>
        <w:t>Standard and uniform packaging and labeling, including, but not limited to, requirements (i) regarding branding or logos, (ii) that all packaging be opaque, and (iii) that amounts and concentrations of THC and cannabidiol, per serving and per package, be clearly marked on the packaging or label of any cannabis product sold.</w:t>
      </w:r>
    </w:p>
    <w:p>
      <w:pPr>
        <w:keepNext w:val="0"/>
        <w:spacing w:before="120" w:after="0" w:line="300" w:lineRule="atLeast"/>
        <w:ind w:left="1440" w:right="0"/>
        <w:jc w:val="left"/>
      </w:pPr>
      <w:r>
        <w:rPr>
          <w:b/>
        </w:rPr>
        <w:t xml:space="preserve">(L)  </w:t>
      </w:r>
      <w:bookmarkStart w:id="19" w:name="Bookmark__b_5_l"/>
      <w:bookmarkEnd w:id="19"/>
      <w:r>
        <w:rPr>
          <w:rFonts w:ascii="times" w:eastAsia="times" w:hAnsi="times" w:cs="times"/>
          <w:b w:val="0"/>
          <w:i w:val="0"/>
          <w:strike w:val="0"/>
          <w:noProof w:val="0"/>
          <w:color w:val="000000"/>
          <w:position w:val="0"/>
          <w:sz w:val="24"/>
          <w:u w:val="none"/>
          <w:vertAlign w:val="baseline"/>
        </w:rPr>
        <w:t>For any cannabis concentrate cannabis product that contains a total THC percentage greater than thirty per cent, a warning that such cannabis product is a high-potency product and may increase the risk of psychosis.</w:t>
      </w:r>
    </w:p>
    <w:p>
      <w:pPr>
        <w:keepNext w:val="0"/>
        <w:spacing w:before="120" w:after="0" w:line="300" w:lineRule="atLeast"/>
        <w:ind w:left="1440" w:right="0"/>
        <w:jc w:val="left"/>
      </w:pPr>
      <w:r>
        <w:rPr>
          <w:b/>
        </w:rPr>
        <w:t xml:space="preserve">(M)  </w:t>
      </w:r>
      <w:bookmarkStart w:id="20" w:name="Bookmark__b_5_m"/>
      <w:bookmarkEnd w:id="20"/>
      <w:r>
        <w:rPr>
          <w:rFonts w:ascii="times" w:eastAsia="times" w:hAnsi="times" w:cs="times"/>
          <w:b w:val="0"/>
          <w:i w:val="0"/>
          <w:strike w:val="0"/>
          <w:noProof w:val="0"/>
          <w:color w:val="000000"/>
          <w:position w:val="0"/>
          <w:sz w:val="24"/>
          <w:u w:val="none"/>
          <w:vertAlign w:val="baseline"/>
        </w:rPr>
        <w:t>Chemotypes, which shall be displayed as (i) “High THC, Low CBD” where the ratio of THC to CBD is greater than five to one and the total THC percentage is at least fifteen per cent, (ii) “Moderate THC, Moderate CBD” where the ratio of THC to CBD is at least one to five but not greater than five to one and the total THC percentage is greater than five per cent but less than fifteen per cent, (iii) “Low THC, High CBD” where the ratio of THC to CBD is less than one to five and the total THC percentage is not greater than five per cent, or (iv) the chemotype described in clause (i), (ii) or (iii) of this subparagraph that most closely fits the cannabis or cannabis product, as determined by mathematical analysis of the ratio of THC to CBD, where such cannabis or cannabis product does not fit a chemotype described in clause (i), (ii) or (iii) of this subparagraph.</w:t>
      </w:r>
    </w:p>
    <w:p>
      <w:pPr>
        <w:keepNext w:val="0"/>
        <w:spacing w:before="120" w:after="0" w:line="300" w:lineRule="atLeast"/>
        <w:ind w:left="1440" w:right="0"/>
        <w:jc w:val="left"/>
      </w:pPr>
      <w:r>
        <w:rPr>
          <w:b/>
        </w:rPr>
        <w:t xml:space="preserve">(N)  </w:t>
      </w:r>
      <w:bookmarkStart w:id="21" w:name="Bookmark__b_5_n"/>
      <w:bookmarkEnd w:id="21"/>
      <w:r>
        <w:rPr>
          <w:rFonts w:ascii="times" w:eastAsia="times" w:hAnsi="times" w:cs="times"/>
          <w:b w:val="0"/>
          <w:i w:val="0"/>
          <w:strike w:val="0"/>
          <w:noProof w:val="0"/>
          <w:color w:val="000000"/>
          <w:position w:val="0"/>
          <w:sz w:val="24"/>
          <w:u w:val="none"/>
          <w:vertAlign w:val="baseline"/>
        </w:rPr>
        <w:t>A requirement that, prior to being sold and transferred to a consumer, qualifying patient or caregiver, cannabis packaging be clearly labeled, whether printed directly on such packaging or affixed by way of a separate label, other than an extended content label, with:</w:t>
      </w:r>
    </w:p>
    <w:p>
      <w:pPr>
        <w:keepNext w:val="0"/>
        <w:spacing w:before="120" w:after="0" w:line="300" w:lineRule="atLeast"/>
        <w:ind w:left="1800" w:right="0"/>
        <w:jc w:val="left"/>
      </w:pPr>
      <w:r>
        <w:rPr>
          <w:b/>
        </w:rPr>
        <w:t xml:space="preserve">(i)  </w:t>
      </w:r>
      <w:bookmarkStart w:id="22" w:name="Bookmark__b_5_n_i"/>
      <w:bookmarkEnd w:id="22"/>
      <w:r>
        <w:rPr>
          <w:rFonts w:ascii="times" w:eastAsia="times" w:hAnsi="times" w:cs="times"/>
          <w:b w:val="0"/>
          <w:i w:val="0"/>
          <w:strike w:val="0"/>
          <w:noProof w:val="0"/>
          <w:color w:val="000000"/>
          <w:position w:val="0"/>
          <w:sz w:val="24"/>
          <w:u w:val="none"/>
          <w:vertAlign w:val="baseline"/>
        </w:rPr>
        <w:t>A unique identifier generated by a cannabis analytic tracking system maintained by the department and used to track cannabis under the policies and procedures issued, and final regulations adopted, by the commissioner pursuant to this section; and</w:t>
      </w:r>
    </w:p>
    <w:p>
      <w:pPr>
        <w:keepNext w:val="0"/>
        <w:spacing w:before="120" w:after="0" w:line="300" w:lineRule="atLeast"/>
        <w:ind w:left="1800" w:right="0"/>
        <w:jc w:val="left"/>
      </w:pPr>
      <w:r>
        <w:rPr>
          <w:b/>
        </w:rPr>
        <w:t xml:space="preserve">(ii)  </w:t>
      </w:r>
      <w:bookmarkStart w:id="23" w:name="Bookmark__b_5_n_ii"/>
      <w:bookmarkEnd w:id="23"/>
      <w:r>
        <w:rPr>
          <w:rFonts w:ascii="times" w:eastAsia="times" w:hAnsi="times" w:cs="times"/>
          <w:b w:val="0"/>
          <w:i w:val="0"/>
          <w:strike w:val="0"/>
          <w:noProof w:val="0"/>
          <w:color w:val="000000"/>
          <w:position w:val="0"/>
          <w:sz w:val="24"/>
          <w:u w:val="none"/>
          <w:vertAlign w:val="baseline"/>
        </w:rPr>
        <w:t>The following information concerning the cannabis contained in such packaging, which shall be in legible English, black lettering, Times New Roman font, flat regular typeface, on a contrasting background and in uniform size of not less than one-tenth of one inch, based on a capital letter “K”, which information shall also be available on the Internet web site of the cannabis establishment that sells and transfers such cannabis:</w:t>
      </w:r>
    </w:p>
    <w:p>
      <w:pPr>
        <w:keepNext w:val="0"/>
        <w:spacing w:before="120" w:after="0" w:line="300" w:lineRule="atLeast"/>
        <w:ind w:left="2160" w:right="0"/>
        <w:jc w:val="left"/>
      </w:pPr>
      <w:r>
        <w:rPr>
          <w:b/>
        </w:rPr>
        <w:t xml:space="preserve">(I)  </w:t>
      </w:r>
      <w:bookmarkStart w:id="24" w:name="Bookmark__b_5_n_ii_i"/>
      <w:bookmarkEnd w:id="24"/>
      <w:r>
        <w:rPr>
          <w:rFonts w:ascii="times" w:eastAsia="times" w:hAnsi="times" w:cs="times"/>
          <w:b w:val="0"/>
          <w:i w:val="0"/>
          <w:strike w:val="0"/>
          <w:noProof w:val="0"/>
          <w:color w:val="000000"/>
          <w:position w:val="0"/>
          <w:sz w:val="24"/>
          <w:u w:val="none"/>
          <w:vertAlign w:val="baseline"/>
        </w:rPr>
        <w:t>The name of such cannabis, as registered with the department under the policies and procedures issued, and final regulations adopted, by the commissioner pursuant to this section.</w:t>
      </w:r>
    </w:p>
    <w:p>
      <w:pPr>
        <w:keepNext w:val="0"/>
        <w:spacing w:before="120" w:after="0" w:line="300" w:lineRule="atLeast"/>
        <w:ind w:left="2160" w:right="0"/>
        <w:jc w:val="left"/>
      </w:pPr>
      <w:r>
        <w:rPr>
          <w:b/>
        </w:rPr>
        <w:t xml:space="preserve">(II)  </w:t>
      </w:r>
      <w:bookmarkStart w:id="25" w:name="Bookmark__b_5_n_ii_ii"/>
      <w:bookmarkEnd w:id="25"/>
      <w:r>
        <w:rPr>
          <w:rFonts w:ascii="times" w:eastAsia="times" w:hAnsi="times" w:cs="times"/>
          <w:b w:val="0"/>
          <w:i w:val="0"/>
          <w:strike w:val="0"/>
          <w:noProof w:val="0"/>
          <w:color w:val="000000"/>
          <w:position w:val="0"/>
          <w:sz w:val="24"/>
          <w:u w:val="none"/>
          <w:vertAlign w:val="baseline"/>
        </w:rPr>
        <w:t>The expiration date, which shall not account for any refrigeration after such cannabis is sold and transferred to the consumer, qualifying patient or caregiver.</w:t>
      </w:r>
    </w:p>
    <w:p>
      <w:pPr>
        <w:keepNext w:val="0"/>
        <w:spacing w:before="120" w:after="0" w:line="300" w:lineRule="atLeast"/>
        <w:ind w:left="2160" w:right="0"/>
        <w:jc w:val="left"/>
      </w:pPr>
      <w:r>
        <w:rPr>
          <w:b/>
        </w:rPr>
        <w:t xml:space="preserve">(III)  </w:t>
      </w:r>
      <w:bookmarkStart w:id="26" w:name="Bookmark__b_5_n_ii_iii"/>
      <w:bookmarkEnd w:id="26"/>
      <w:r>
        <w:rPr>
          <w:rFonts w:ascii="times" w:eastAsia="times" w:hAnsi="times" w:cs="times"/>
          <w:b w:val="0"/>
          <w:i w:val="0"/>
          <w:strike w:val="0"/>
          <w:noProof w:val="0"/>
          <w:color w:val="000000"/>
          <w:position w:val="0"/>
          <w:sz w:val="24"/>
          <w:u w:val="none"/>
          <w:vertAlign w:val="baseline"/>
        </w:rPr>
        <w:t>The net weight or volume, expressed in metric and imperial units.</w:t>
      </w:r>
    </w:p>
    <w:p>
      <w:pPr>
        <w:keepNext w:val="0"/>
        <w:spacing w:before="120" w:after="0" w:line="300" w:lineRule="atLeast"/>
        <w:ind w:left="2160" w:right="0"/>
        <w:jc w:val="left"/>
      </w:pPr>
      <w:r>
        <w:rPr>
          <w:b/>
        </w:rPr>
        <w:t xml:space="preserve">(IV)  </w:t>
      </w:r>
      <w:bookmarkStart w:id="27" w:name="Bookmark__b_5_n_ii_iv"/>
      <w:bookmarkEnd w:id="27"/>
      <w:r>
        <w:rPr>
          <w:rFonts w:ascii="times" w:eastAsia="times" w:hAnsi="times" w:cs="times"/>
          <w:b w:val="0"/>
          <w:i w:val="0"/>
          <w:strike w:val="0"/>
          <w:noProof w:val="0"/>
          <w:color w:val="000000"/>
          <w:position w:val="0"/>
          <w:sz w:val="24"/>
          <w:u w:val="none"/>
          <w:vertAlign w:val="baseline"/>
        </w:rPr>
        <w:t>The standardized serving size, expressed in customary units, and the number of servings included in such packaging, if applicable.</w:t>
      </w:r>
    </w:p>
    <w:p>
      <w:pPr>
        <w:keepNext w:val="0"/>
        <w:spacing w:before="120" w:after="0" w:line="300" w:lineRule="atLeast"/>
        <w:ind w:left="2160" w:right="0"/>
        <w:jc w:val="left"/>
      </w:pPr>
      <w:r>
        <w:rPr>
          <w:b/>
        </w:rPr>
        <w:t xml:space="preserve">(V)  </w:t>
      </w:r>
      <w:bookmarkStart w:id="28" w:name="Bookmark__b_5_n_ii_v"/>
      <w:bookmarkEnd w:id="28"/>
      <w:r>
        <w:rPr>
          <w:rFonts w:ascii="times" w:eastAsia="times" w:hAnsi="times" w:cs="times"/>
          <w:b w:val="0"/>
          <w:i w:val="0"/>
          <w:strike w:val="0"/>
          <w:noProof w:val="0"/>
          <w:color w:val="000000"/>
          <w:position w:val="0"/>
          <w:sz w:val="24"/>
          <w:u w:val="none"/>
          <w:vertAlign w:val="baseline"/>
        </w:rPr>
        <w:t>Directions for use and storage.</w:t>
      </w:r>
    </w:p>
    <w:p>
      <w:pPr>
        <w:keepNext w:val="0"/>
        <w:spacing w:before="120" w:after="0" w:line="300" w:lineRule="atLeast"/>
        <w:ind w:left="2160" w:right="0"/>
        <w:jc w:val="left"/>
      </w:pPr>
      <w:r>
        <w:rPr>
          <w:b/>
        </w:rPr>
        <w:t xml:space="preserve">(VI)  </w:t>
      </w:r>
      <w:bookmarkStart w:id="29" w:name="Bookmark__b_5_n_ii_vi"/>
      <w:bookmarkEnd w:id="29"/>
      <w:r>
        <w:rPr>
          <w:rFonts w:ascii="times" w:eastAsia="times" w:hAnsi="times" w:cs="times"/>
          <w:b w:val="0"/>
          <w:i w:val="0"/>
          <w:strike w:val="0"/>
          <w:noProof w:val="0"/>
          <w:color w:val="000000"/>
          <w:position w:val="0"/>
          <w:sz w:val="24"/>
          <w:u w:val="none"/>
          <w:vertAlign w:val="baseline"/>
        </w:rPr>
        <w:t>Each active ingredient comprising at least one per cent of such cannabis, including cannabinoids, isomers, esters, ethers and salts and salts of isomers, esters and ethers, and all quantities thereof expressed in metric units and as a percentage of volume.</w:t>
      </w:r>
    </w:p>
    <w:p>
      <w:pPr>
        <w:keepNext w:val="0"/>
        <w:spacing w:before="120" w:after="0" w:line="300" w:lineRule="atLeast"/>
        <w:ind w:left="2160" w:right="0"/>
        <w:jc w:val="left"/>
      </w:pPr>
      <w:r>
        <w:rPr>
          <w:b/>
        </w:rPr>
        <w:t xml:space="preserve">(VII)  </w:t>
      </w:r>
      <w:bookmarkStart w:id="30" w:name="Bookmark__b_5_n_ii_vii"/>
      <w:bookmarkEnd w:id="30"/>
      <w:r>
        <w:rPr>
          <w:rFonts w:ascii="times" w:eastAsia="times" w:hAnsi="times" w:cs="times"/>
          <w:b w:val="0"/>
          <w:i w:val="0"/>
          <w:strike w:val="0"/>
          <w:noProof w:val="0"/>
          <w:color w:val="000000"/>
          <w:position w:val="0"/>
          <w:sz w:val="24"/>
          <w:u w:val="none"/>
          <w:vertAlign w:val="baseline"/>
        </w:rPr>
        <w:t>A list of all known allergens, as identified by the federal Food and Drug Administration, contained in such cannabis, or the denotation “no known FDA identified allergens” if such cannabis does not contain any allergen identified by the federal Food and Drug Administration.</w:t>
      </w:r>
    </w:p>
    <w:p>
      <w:pPr>
        <w:keepNext w:val="0"/>
        <w:spacing w:before="120" w:after="0" w:line="300" w:lineRule="atLeast"/>
        <w:ind w:left="2160" w:right="0"/>
        <w:jc w:val="left"/>
      </w:pPr>
      <w:r>
        <w:rPr>
          <w:b/>
        </w:rPr>
        <w:t xml:space="preserve">(VIII)  </w:t>
      </w:r>
      <w:bookmarkStart w:id="31" w:name="Bookmark__b_5_n_ii_viii"/>
      <w:bookmarkEnd w:id="31"/>
      <w:r>
        <w:rPr>
          <w:rFonts w:ascii="times" w:eastAsia="times" w:hAnsi="times" w:cs="times"/>
          <w:b w:val="0"/>
          <w:i w:val="0"/>
          <w:strike w:val="0"/>
          <w:noProof w:val="0"/>
          <w:color w:val="000000"/>
          <w:position w:val="0"/>
          <w:sz w:val="24"/>
          <w:u w:val="none"/>
          <w:vertAlign w:val="baseline"/>
        </w:rPr>
        <w:t>The following warning statement within, and outlined by, a red box:</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“This product is not FDA-approved, may be intoxicating, cause long-term physical and mental health problems, and have delayed side effects. It is illegal to operate a vehicle or machinery under the influence of cannabis. Keep away from children.”</w:t>
      </w:r>
    </w:p>
    <w:p>
      <w:pPr>
        <w:keepNext w:val="0"/>
        <w:spacing w:before="120" w:after="0" w:line="300" w:lineRule="atLeast"/>
        <w:ind w:left="2160" w:right="0"/>
        <w:jc w:val="left"/>
      </w:pPr>
      <w:r>
        <w:rPr>
          <w:b/>
        </w:rPr>
        <w:t xml:space="preserve">(IX)  </w:t>
      </w:r>
      <w:bookmarkStart w:id="32" w:name="Bookmark__b_5_n_ii_ix"/>
      <w:bookmarkEnd w:id="32"/>
      <w:r>
        <w:rPr>
          <w:rFonts w:ascii="times" w:eastAsia="times" w:hAnsi="times" w:cs="times"/>
          <w:b w:val="0"/>
          <w:i w:val="0"/>
          <w:strike w:val="0"/>
          <w:noProof w:val="0"/>
          <w:color w:val="000000"/>
          <w:position w:val="0"/>
          <w:sz w:val="24"/>
          <w:u w:val="none"/>
          <w:vertAlign w:val="baseline"/>
        </w:rPr>
        <w:t>At least one of the following warning statements, rotated quarterly on an alternating basis:</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“Warning: Frequent and prolonged use of cannabis can contribute to mental health problems over time, including anxiety, depression, stunted brain development and impaired memory.”</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“Warning: Consumption while pregnant or breastfeeding may be harmful.”</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“Warning: Cannabis has intoxicating effects and may be habit-forming and addictive.”</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“Warning: Consuming more than the recommended amount may result in adverse effects requiring medical attention.”.</w:t>
      </w:r>
    </w:p>
    <w:p>
      <w:pPr>
        <w:keepNext w:val="0"/>
        <w:spacing w:before="120" w:after="0" w:line="300" w:lineRule="atLeast"/>
        <w:ind w:left="2160" w:right="0"/>
        <w:jc w:val="left"/>
      </w:pPr>
      <w:r>
        <w:rPr>
          <w:b/>
        </w:rPr>
        <w:t xml:space="preserve">(X)  </w:t>
      </w:r>
      <w:bookmarkStart w:id="33" w:name="Bookmark__b_5_n_ii_x"/>
      <w:bookmarkEnd w:id="33"/>
      <w:r>
        <w:rPr>
          <w:rFonts w:ascii="times" w:eastAsia="times" w:hAnsi="times" w:cs="times"/>
          <w:b w:val="0"/>
          <w:i w:val="0"/>
          <w:strike w:val="0"/>
          <w:noProof w:val="0"/>
          <w:color w:val="000000"/>
          <w:position w:val="0"/>
          <w:sz w:val="24"/>
          <w:u w:val="none"/>
          <w:vertAlign w:val="baseline"/>
        </w:rPr>
        <w:t>All information necessary to comply with labeling requirements imposed under the laws of this state or federal law, including, but not limited to, sections 21a-91 to 21a-120, inclusive, and 21a-151 to 21a-159, inclusive, the Federal Food, Drug and Cosmetic Act, 21 USC 301 et seq., as amended from time to time, and the federal Fair Packaging and Labeling Act, 15 USC 1451 et seq., as amended from time to time, for similar products that do not contain cannabis.</w:t>
      </w:r>
    </w:p>
    <w:p>
      <w:pPr>
        <w:keepNext w:val="0"/>
        <w:spacing w:before="120" w:after="0" w:line="300" w:lineRule="atLeast"/>
        <w:ind w:left="2160" w:right="0"/>
        <w:jc w:val="left"/>
      </w:pPr>
      <w:r>
        <w:rPr>
          <w:b/>
        </w:rPr>
        <w:t xml:space="preserve">(XI)  </w:t>
      </w:r>
      <w:bookmarkStart w:id="34" w:name="Bookmark__b_5_n_ii_xi"/>
      <w:bookmarkEnd w:id="34"/>
      <w:r>
        <w:rPr>
          <w:rFonts w:ascii="times" w:eastAsia="times" w:hAnsi="times" w:cs="times"/>
          <w:b w:val="0"/>
          <w:i w:val="0"/>
          <w:strike w:val="0"/>
          <w:noProof w:val="0"/>
          <w:color w:val="000000"/>
          <w:position w:val="0"/>
          <w:sz w:val="24"/>
          <w:u w:val="none"/>
          <w:vertAlign w:val="baseline"/>
        </w:rPr>
        <w:t>Such additional warning labels for certain cannabis products as the commissioner may require and post on the department’s Internet web site.</w:t>
      </w:r>
    </w:p>
    <w:p>
      <w:pPr>
        <w:keepNext w:val="0"/>
        <w:spacing w:before="120" w:after="0" w:line="300" w:lineRule="atLeast"/>
        <w:ind w:left="1080" w:right="0"/>
        <w:jc w:val="left"/>
      </w:pPr>
      <w:r>
        <w:rPr>
          <w:b/>
        </w:rPr>
        <w:t xml:space="preserve">(6)  </w:t>
      </w:r>
      <w:bookmarkStart w:id="35" w:name="Bookmark__b_6"/>
      <w:bookmarkEnd w:id="35"/>
      <w:r>
        <w:rPr>
          <w:rFonts w:ascii="times" w:eastAsia="times" w:hAnsi="times" w:cs="times"/>
          <w:b w:val="0"/>
          <w:i w:val="0"/>
          <w:strike w:val="0"/>
          <w:noProof w:val="0"/>
          <w:color w:val="000000"/>
          <w:position w:val="0"/>
          <w:sz w:val="24"/>
          <w:u w:val="none"/>
          <w:vertAlign w:val="baseline"/>
        </w:rPr>
        <w:t>Establishing laboratory testing standards.</w:t>
      </w:r>
    </w:p>
    <w:p>
      <w:pPr>
        <w:keepNext w:val="0"/>
        <w:spacing w:before="120" w:after="0" w:line="300" w:lineRule="atLeast"/>
        <w:ind w:left="1080" w:right="0"/>
        <w:jc w:val="left"/>
      </w:pPr>
      <w:r>
        <w:rPr>
          <w:b/>
        </w:rPr>
        <w:t xml:space="preserve">(7)  </w:t>
      </w:r>
      <w:bookmarkStart w:id="36" w:name="Bookmark__b_7"/>
      <w:bookmarkEnd w:id="36"/>
      <w:r>
        <w:rPr>
          <w:rFonts w:ascii="times" w:eastAsia="times" w:hAnsi="times" w:cs="times"/>
          <w:b w:val="0"/>
          <w:i w:val="0"/>
          <w:strike w:val="0"/>
          <w:noProof w:val="0"/>
          <w:color w:val="000000"/>
          <w:position w:val="0"/>
          <w:sz w:val="24"/>
          <w:u w:val="none"/>
          <w:vertAlign w:val="baseline"/>
        </w:rPr>
        <w:t>Restricting forms of cannabis products and cannabis product delivery systems to ensure consumer safety and deter public health concerns.</w:t>
      </w:r>
    </w:p>
    <w:p>
      <w:pPr>
        <w:keepNext w:val="0"/>
        <w:spacing w:before="120" w:after="0" w:line="300" w:lineRule="atLeast"/>
        <w:ind w:left="1080" w:right="0"/>
        <w:jc w:val="left"/>
      </w:pPr>
      <w:r>
        <w:rPr>
          <w:b/>
        </w:rPr>
        <w:t xml:space="preserve">(8)  </w:t>
      </w:r>
      <w:bookmarkStart w:id="37" w:name="Bookmark__b_8"/>
      <w:bookmarkEnd w:id="37"/>
      <w:r>
        <w:rPr>
          <w:rFonts w:ascii="times" w:eastAsia="times" w:hAnsi="times" w:cs="times"/>
          <w:b w:val="0"/>
          <w:i w:val="0"/>
          <w:strike w:val="0"/>
          <w:noProof w:val="0"/>
          <w:color w:val="000000"/>
          <w:position w:val="0"/>
          <w:sz w:val="24"/>
          <w:u w:val="none"/>
          <w:vertAlign w:val="baseline"/>
        </w:rPr>
        <w:t>Prohibiting certain manufacturing methods, or inclusion of additives to cannabis products, including, but not limited to, (A) added flavoring, terpenes or other additives unless approved by the department, or (B) any form of nicotine or other additive containing nicotine.</w:t>
      </w:r>
    </w:p>
    <w:p>
      <w:pPr>
        <w:keepNext w:val="0"/>
        <w:spacing w:before="120" w:after="0" w:line="300" w:lineRule="atLeast"/>
        <w:ind w:left="1080" w:right="0"/>
        <w:jc w:val="left"/>
      </w:pPr>
      <w:r>
        <w:rPr>
          <w:b/>
        </w:rPr>
        <w:t xml:space="preserve">(9)  </w:t>
      </w:r>
      <w:bookmarkStart w:id="38" w:name="Bookmark__b_9"/>
      <w:bookmarkEnd w:id="38"/>
      <w:r>
        <w:rPr>
          <w:rFonts w:ascii="times" w:eastAsia="times" w:hAnsi="times" w:cs="times"/>
          <w:b w:val="0"/>
          <w:i w:val="0"/>
          <w:strike w:val="0"/>
          <w:noProof w:val="0"/>
          <w:color w:val="000000"/>
          <w:position w:val="0"/>
          <w:sz w:val="24"/>
          <w:u w:val="none"/>
          <w:vertAlign w:val="baseline"/>
        </w:rPr>
        <w:t>Prohibiting cannabis product types that appeal to children.</w:t>
      </w:r>
    </w:p>
    <w:p>
      <w:pPr>
        <w:keepNext w:val="0"/>
        <w:spacing w:before="120" w:after="0" w:line="300" w:lineRule="atLeast"/>
        <w:ind w:left="1080" w:right="0"/>
        <w:jc w:val="left"/>
      </w:pPr>
      <w:r>
        <w:rPr>
          <w:b/>
        </w:rPr>
        <w:t xml:space="preserve">(10)  </w:t>
      </w:r>
      <w:bookmarkStart w:id="39" w:name="Bookmark__b_10"/>
      <w:bookmarkEnd w:id="39"/>
      <w:r>
        <w:rPr>
          <w:rFonts w:ascii="times" w:eastAsia="times" w:hAnsi="times" w:cs="times"/>
          <w:b w:val="0"/>
          <w:i w:val="0"/>
          <w:strike w:val="0"/>
          <w:noProof w:val="0"/>
          <w:color w:val="000000"/>
          <w:position w:val="0"/>
          <w:sz w:val="24"/>
          <w:u w:val="none"/>
          <w:vertAlign w:val="baseline"/>
        </w:rPr>
        <w:t xml:space="preserve">Establishing physical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requirements related to build out, monitoring and protocols for cannabis establishments as a requirement for licensure.</w:t>
      </w:r>
    </w:p>
    <w:p>
      <w:pPr>
        <w:keepNext w:val="0"/>
        <w:spacing w:before="120" w:after="0" w:line="300" w:lineRule="atLeast"/>
        <w:ind w:left="1080" w:right="0"/>
        <w:jc w:val="left"/>
      </w:pPr>
      <w:r>
        <w:rPr>
          <w:b/>
        </w:rPr>
        <w:t xml:space="preserve">(11)  </w:t>
      </w:r>
      <w:bookmarkStart w:id="40" w:name="Bookmark__b_11"/>
      <w:bookmarkEnd w:id="40"/>
      <w:r>
        <w:rPr>
          <w:rFonts w:ascii="times" w:eastAsia="times" w:hAnsi="times" w:cs="times"/>
          <w:b w:val="0"/>
          <w:i w:val="0"/>
          <w:strike w:val="0"/>
          <w:noProof w:val="0"/>
          <w:color w:val="000000"/>
          <w:position w:val="0"/>
          <w:sz w:val="24"/>
          <w:u w:val="none"/>
          <w:vertAlign w:val="baseline"/>
        </w:rPr>
        <w:t>Placing temporary limits on the sale of cannabis in the adult-use market, if deemed appropriate and necessary by the commissioner, in response to a shortage of cannabis for qualifying patients.</w:t>
      </w:r>
    </w:p>
    <w:p>
      <w:pPr>
        <w:keepNext w:val="0"/>
        <w:spacing w:before="120" w:after="0" w:line="300" w:lineRule="atLeast"/>
        <w:ind w:left="1080" w:right="0"/>
        <w:jc w:val="left"/>
      </w:pPr>
      <w:r>
        <w:rPr>
          <w:b/>
        </w:rPr>
        <w:t xml:space="preserve">(12)  </w:t>
      </w:r>
      <w:bookmarkStart w:id="41" w:name="Bookmark__b_12"/>
      <w:bookmarkEnd w:id="41"/>
      <w:r>
        <w:rPr>
          <w:rFonts w:ascii="times" w:eastAsia="times" w:hAnsi="times" w:cs="times"/>
          <w:b w:val="0"/>
          <w:i w:val="0"/>
          <w:strike w:val="0"/>
          <w:noProof w:val="0"/>
          <w:color w:val="000000"/>
          <w:position w:val="0"/>
          <w:sz w:val="24"/>
          <w:u w:val="none"/>
          <w:vertAlign w:val="baseline"/>
        </w:rPr>
        <w:t>Requiring retailers and hybrid retailers to make best efforts to provide access to (A) low-dose THC products, including products that have one milligram and two and a half milligrams of THC per dose, and (B) high-dose CBD products.</w:t>
      </w:r>
    </w:p>
    <w:p>
      <w:pPr>
        <w:keepNext w:val="0"/>
        <w:spacing w:before="120" w:after="0" w:line="300" w:lineRule="atLeast"/>
        <w:ind w:left="1080" w:right="0"/>
        <w:jc w:val="left"/>
      </w:pPr>
      <w:r>
        <w:rPr>
          <w:b/>
        </w:rPr>
        <w:t xml:space="preserve">(13)  </w:t>
      </w:r>
      <w:bookmarkStart w:id="42" w:name="Bookmark__b_13"/>
      <w:bookmarkEnd w:id="42"/>
      <w:r>
        <w:rPr>
          <w:rFonts w:ascii="times" w:eastAsia="times" w:hAnsi="times" w:cs="times"/>
          <w:b w:val="0"/>
          <w:i w:val="0"/>
          <w:strike w:val="0"/>
          <w:noProof w:val="0"/>
          <w:color w:val="000000"/>
          <w:position w:val="0"/>
          <w:sz w:val="24"/>
          <w:u w:val="none"/>
          <w:vertAlign w:val="baseline"/>
        </w:rPr>
        <w:t>Requiring producers, cultivators, micro-cultivators, product manufacturers and food and beverage manufacturers to register brand names for cannabis, in accordance with the policies and procedures and subject to the fee set forth in, regulations adopted under chapter 420f.</w:t>
      </w:r>
    </w:p>
    <w:p>
      <w:pPr>
        <w:keepNext w:val="0"/>
        <w:spacing w:before="120" w:after="0" w:line="300" w:lineRule="atLeast"/>
        <w:ind w:left="1080" w:right="0"/>
        <w:jc w:val="left"/>
      </w:pPr>
      <w:r>
        <w:rPr>
          <w:b/>
        </w:rPr>
        <w:t xml:space="preserve">(14)  </w:t>
      </w:r>
      <w:bookmarkStart w:id="43" w:name="Bookmark__b_14"/>
      <w:bookmarkEnd w:id="43"/>
      <w:r>
        <w:rPr>
          <w:rFonts w:ascii="times" w:eastAsia="times" w:hAnsi="times" w:cs="times"/>
          <w:b w:val="0"/>
          <w:i w:val="0"/>
          <w:strike w:val="0"/>
          <w:noProof w:val="0"/>
          <w:color w:val="000000"/>
          <w:position w:val="0"/>
          <w:sz w:val="24"/>
          <w:u w:val="none"/>
          <w:vertAlign w:val="baseline"/>
        </w:rPr>
        <w:t>Prohibiting a cannabis establishment from selling, other than the sale of medical marijuana products between cannabis establishments and the sale of cannabis to qualified patients and caregivers, (A) cannabis flower or other cannabis plant material with a total THC concentration greater than thirty per cent on a dry-weight basis, and (B) any cannabis product other than cannabis flower and cannabis plant material with a total THC concentration greater than sixty per cent on a dry-weight basis, except that the provisions of subparagraph (B) of this subdivision shall not apply to the sale of prefilled cartridges for use in an electronic cannabis delivery system, as defined in section 19a-342a and the department may adjust the percentages set forth in subparagraph (A) or (B) of this subdivision in regulations adopted pursuant to this section for purposes of public health or to address market access or shortage. As used in this subdivision, “cannabis plant material” means material from the cannabis plant, as defined in section 21a-279a.</w:t>
      </w:r>
    </w:p>
    <w:p>
      <w:pPr>
        <w:keepNext w:val="0"/>
        <w:spacing w:before="120" w:after="0" w:line="300" w:lineRule="atLeast"/>
        <w:ind w:left="1080" w:right="0"/>
        <w:jc w:val="left"/>
      </w:pPr>
      <w:r>
        <w:rPr>
          <w:b/>
        </w:rPr>
        <w:t xml:space="preserve">(15)  </w:t>
      </w:r>
      <w:bookmarkStart w:id="44" w:name="Bookmark__b_15"/>
      <w:bookmarkEnd w:id="44"/>
      <w:r>
        <w:rPr>
          <w:rFonts w:ascii="times" w:eastAsia="times" w:hAnsi="times" w:cs="times"/>
          <w:b w:val="0"/>
          <w:i w:val="0"/>
          <w:strike w:val="0"/>
          <w:noProof w:val="0"/>
          <w:color w:val="000000"/>
          <w:position w:val="0"/>
          <w:sz w:val="24"/>
          <w:u w:val="none"/>
          <w:vertAlign w:val="baseline"/>
        </w:rPr>
        <w:t>Permitting the outdoor cultivation of cannabis.</w:t>
      </w:r>
    </w:p>
    <w:p>
      <w:pPr>
        <w:keepNext w:val="0"/>
        <w:spacing w:before="120" w:after="0" w:line="300" w:lineRule="atLeast"/>
        <w:ind w:left="1080" w:right="0"/>
        <w:jc w:val="left"/>
      </w:pPr>
      <w:r>
        <w:rPr>
          <w:b/>
        </w:rPr>
        <w:t xml:space="preserve">(16)  </w:t>
      </w:r>
      <w:bookmarkStart w:id="45" w:name="Bookmark__b_16"/>
      <w:bookmarkEnd w:id="45"/>
      <w:r>
        <w:rPr>
          <w:rFonts w:ascii="times" w:eastAsia="times" w:hAnsi="times" w:cs="times"/>
          <w:b w:val="0"/>
          <w:i w:val="0"/>
          <w:strike w:val="0"/>
          <w:noProof w:val="0"/>
          <w:color w:val="000000"/>
          <w:position w:val="0"/>
          <w:sz w:val="24"/>
          <w:u w:val="none"/>
          <w:vertAlign w:val="baseline"/>
        </w:rPr>
        <w:t>Prohibiting packaging that is (A) visually similar to any commercially similar product that does not contain cannabis, or (B) used for any good that is marketed to individuals reasonably expected to be younger than twenty-one years of age.</w:t>
      </w:r>
    </w:p>
    <w:p>
      <w:pPr>
        <w:keepNext w:val="0"/>
        <w:spacing w:before="120" w:after="0" w:line="300" w:lineRule="atLeast"/>
        <w:ind w:left="1080" w:right="0"/>
        <w:jc w:val="left"/>
      </w:pPr>
      <w:r>
        <w:rPr>
          <w:b/>
        </w:rPr>
        <w:t xml:space="preserve">(17)  </w:t>
      </w:r>
      <w:bookmarkStart w:id="46" w:name="Bookmark__b_17"/>
      <w:bookmarkEnd w:id="46"/>
      <w:r>
        <w:rPr>
          <w:rFonts w:ascii="times" w:eastAsia="times" w:hAnsi="times" w:cs="times"/>
          <w:b w:val="0"/>
          <w:i w:val="0"/>
          <w:strike w:val="0"/>
          <w:noProof w:val="0"/>
          <w:color w:val="000000"/>
          <w:position w:val="0"/>
          <w:sz w:val="24"/>
          <w:u w:val="none"/>
          <w:vertAlign w:val="baseline"/>
        </w:rPr>
        <w:t>Allowing packaging to include a picture of the cannabis product and contain a logo of one cannabis establishment, which logo may be comprised of not more than three colors and provided neither black nor white shall be considered one of such three colors.</w:t>
      </w:r>
    </w:p>
    <w:p>
      <w:pPr>
        <w:keepNext w:val="0"/>
        <w:spacing w:before="120" w:after="0" w:line="300" w:lineRule="atLeast"/>
        <w:ind w:left="1080" w:right="0"/>
        <w:jc w:val="left"/>
      </w:pPr>
      <w:r>
        <w:rPr>
          <w:b/>
        </w:rPr>
        <w:t xml:space="preserve">(18)  </w:t>
      </w:r>
      <w:bookmarkStart w:id="47" w:name="Bookmark__b_18"/>
      <w:bookmarkEnd w:id="47"/>
      <w:r>
        <w:rPr>
          <w:rFonts w:ascii="times" w:eastAsia="times" w:hAnsi="times" w:cs="times"/>
          <w:b w:val="0"/>
          <w:i w:val="0"/>
          <w:strike w:val="0"/>
          <w:noProof w:val="0"/>
          <w:color w:val="000000"/>
          <w:position w:val="0"/>
          <w:sz w:val="24"/>
          <w:u w:val="none"/>
          <w:vertAlign w:val="baseline"/>
        </w:rPr>
        <w:t>Requiring packaging to (A) be entirely and uniformly one color, and (B) not incorporate any information, print, embossing, debossing, graphic or hidden feature, other than any permitted or required label.</w:t>
      </w:r>
    </w:p>
    <w:p>
      <w:pPr>
        <w:keepNext w:val="0"/>
        <w:spacing w:before="120" w:after="0" w:line="300" w:lineRule="atLeast"/>
        <w:ind w:left="1080" w:right="0"/>
        <w:jc w:val="left"/>
      </w:pPr>
      <w:r>
        <w:rPr>
          <w:b/>
        </w:rPr>
        <w:t xml:space="preserve">(19)  </w:t>
      </w:r>
      <w:bookmarkStart w:id="48" w:name="Bookmark__b_19"/>
      <w:bookmarkEnd w:id="48"/>
      <w:r>
        <w:rPr>
          <w:rFonts w:ascii="times" w:eastAsia="times" w:hAnsi="times" w:cs="times"/>
          <w:b w:val="0"/>
          <w:i w:val="0"/>
          <w:strike w:val="0"/>
          <w:noProof w:val="0"/>
          <w:color w:val="000000"/>
          <w:position w:val="0"/>
          <w:sz w:val="24"/>
          <w:u w:val="none"/>
          <w:vertAlign w:val="baseline"/>
        </w:rPr>
        <w:t>Requiring that packaging and labeling for an edible cannabis product, excluding the warning labels required under this subsection and a picture of the cannabis product described in subdivision (17) of this subsection but including, but not limited to, the logo of the cannabis establishment, shall only be comprised of black and white or a combination thereof.</w:t>
      </w:r>
    </w:p>
    <w:p>
      <w:pPr>
        <w:spacing w:before="120" w:line="240" w:lineRule="atLeast"/>
        <w:ind w:left="1080"/>
      </w:pPr>
      <w:r>
        <w:rPr>
          <w:b/>
        </w:rPr>
        <w:t xml:space="preserve">(20)  </w:t>
      </w:r>
      <w:bookmarkStart w:id="49" w:name="Bookmark__b_20"/>
      <w:bookmarkEnd w:id="49"/>
    </w:p>
    <w:p>
      <w:pPr>
        <w:keepNext w:val="0"/>
        <w:spacing w:before="120" w:after="0" w:line="300" w:lineRule="atLeast"/>
        <w:ind w:left="1440" w:right="0"/>
        <w:jc w:val="left"/>
      </w:pPr>
      <w:r>
        <w:rPr>
          <w:b/>
        </w:rPr>
        <w:t xml:space="preserve">(A)  </w:t>
      </w:r>
      <w:bookmarkStart w:id="50" w:name="Bookmark__b_20_a"/>
      <w:bookmarkEnd w:id="50"/>
      <w:r>
        <w:rPr>
          <w:rFonts w:ascii="times" w:eastAsia="times" w:hAnsi="times" w:cs="times"/>
          <w:b w:val="0"/>
          <w:i w:val="0"/>
          <w:strike w:val="0"/>
          <w:noProof w:val="0"/>
          <w:color w:val="000000"/>
          <w:position w:val="0"/>
          <w:sz w:val="24"/>
          <w:u w:val="none"/>
          <w:vertAlign w:val="baseline"/>
        </w:rPr>
        <w:t>Except as provided in subparagraph (B) of this subdivision, requiring that delivery device cartridges be labeled, in a clearly legible manner and in as large a font as the size of the device reasonably allows, with only the following information (i) the name of the cannabis establishment where the cannabis is grown or manufactured, (ii) the cannabis brand, (iii) the total THC and total CBD content contained within the delivery device cartridge, (iv) the expiration date, and (v) the unique identifier generated by a cannabis analytic tracking system maintained by the department and used to track cannabis under the policies and procedures issued, and final regulations adopted, by the commissioner pursuant to this section.</w:t>
      </w:r>
    </w:p>
    <w:p>
      <w:pPr>
        <w:keepNext w:val="0"/>
        <w:spacing w:before="120" w:after="0" w:line="300" w:lineRule="atLeast"/>
        <w:ind w:left="1440" w:right="0"/>
        <w:jc w:val="left"/>
      </w:pPr>
      <w:r>
        <w:rPr>
          <w:b/>
        </w:rPr>
        <w:t xml:space="preserve">(B)  </w:t>
      </w:r>
      <w:bookmarkStart w:id="51" w:name="Bookmark__b_20_b"/>
      <w:bookmarkEnd w:id="51"/>
      <w:r>
        <w:rPr>
          <w:rFonts w:ascii="times" w:eastAsia="times" w:hAnsi="times" w:cs="times"/>
          <w:b w:val="0"/>
          <w:i w:val="0"/>
          <w:strike w:val="0"/>
          <w:noProof w:val="0"/>
          <w:color w:val="000000"/>
          <w:position w:val="0"/>
          <w:sz w:val="24"/>
          <w:u w:val="none"/>
          <w:vertAlign w:val="baseline"/>
        </w:rPr>
        <w:t>A cannabis establishment may emboss, deboss or similarly print the name of the cannabis establishment’s business entity, and one logo with not more than three colors, on a delivery device cartridge.</w:t>
      </w:r>
    </w:p>
    <w:p>
      <w:pPr>
        <w:keepNext/>
        <w:spacing w:before="240" w:after="0" w:line="340" w:lineRule="atLeast"/>
        <w:ind w:left="0" w:right="0" w:firstLine="0"/>
        <w:jc w:val="left"/>
      </w:pPr>
      <w:bookmarkStart w:id="52" w:name="History"/>
      <w:bookmarkEnd w:id="5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June Sp. Sess. P.A. 21-1, § 32, effective June 22, 2021; P.A. 23-79, § 41, effective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21a-421j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21a-421j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