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6 USCS § 652a</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Public Law 118-62, approved May 13, 2024.</w:t>
      </w:r>
    </w:p>
    <w:p>
      <w:pPr>
        <w:keepNext w:val="0"/>
        <w:spacing w:after="0" w:line="240" w:lineRule="atLeast"/>
        <w:ind w:right="0"/>
        <w:jc w:val="both"/>
      </w:pPr>
      <w:bookmarkStart w:id="0" w:name="Bookmark_4"/>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United States Code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DOMESTIC SECURITY (§§ 101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HOMELAND SECURITY ORGANIZATION (§§ 101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AND INFRASTRUCTURE SECURITY AGENCY (§§ 650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AND INFRASTRUCTURE SECURITY (§§ 651 — 665n)</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652a. Sector risk management agencies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Definitions.   </w:t>
      </w:r>
      <w:bookmarkStart w:id="1" w:name="Bookmark__a"/>
      <w:bookmarkEnd w:id="1"/>
      <w:r>
        <w:rPr>
          <w:rFonts w:ascii="times" w:eastAsia="times" w:hAnsi="times" w:cs="times"/>
          <w:b w:val="0"/>
          <w:i w:val="0"/>
          <w:strike w:val="0"/>
          <w:noProof w:val="0"/>
          <w:color w:val="000000"/>
          <w:position w:val="0"/>
          <w:sz w:val="24"/>
          <w:u w:val="none"/>
          <w:vertAlign w:val="baseline"/>
        </w:rPr>
        <w:t>In this section:</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Appropriate congressional committees. The term “appropriate congressional committees” means—</w:t>
      </w:r>
    </w:p>
    <w:p>
      <w:pPr>
        <w:keepNext w:val="0"/>
        <w:spacing w:before="120" w:after="0" w:line="300" w:lineRule="atLeast"/>
        <w:ind w:left="1440" w:right="0"/>
        <w:jc w:val="left"/>
      </w:pPr>
      <w:r>
        <w:rPr>
          <w:b/>
        </w:rPr>
        <w:t xml:space="preserve">(A)  </w:t>
      </w:r>
      <w:bookmarkStart w:id="3" w:name="Bookmark__a_1_a"/>
      <w:bookmarkEnd w:id="3"/>
      <w:r>
        <w:rPr>
          <w:rFonts w:ascii="times" w:eastAsia="times" w:hAnsi="times" w:cs="times"/>
          <w:b w:val="0"/>
          <w:i w:val="0"/>
          <w:strike w:val="0"/>
          <w:noProof w:val="0"/>
          <w:color w:val="000000"/>
          <w:position w:val="0"/>
          <w:sz w:val="24"/>
          <w:u w:val="none"/>
          <w:vertAlign w:val="baseline"/>
        </w:rPr>
        <w:t>the Committee on Homeland Security and the Committee on Armed Services in the House of Representatives; and</w:t>
      </w:r>
    </w:p>
    <w:p>
      <w:pPr>
        <w:keepNext w:val="0"/>
        <w:spacing w:before="120" w:after="0" w:line="300" w:lineRule="atLeast"/>
        <w:ind w:left="1440" w:right="0"/>
        <w:jc w:val="left"/>
      </w:pPr>
      <w:r>
        <w:rPr>
          <w:b/>
        </w:rPr>
        <w:t xml:space="preserve">(B)  </w:t>
      </w:r>
      <w:bookmarkStart w:id="4" w:name="Bookmark__a_1_b"/>
      <w:bookmarkEnd w:id="4"/>
      <w:r>
        <w:rPr>
          <w:rFonts w:ascii="times" w:eastAsia="times" w:hAnsi="times" w:cs="times"/>
          <w:b w:val="0"/>
          <w:i w:val="0"/>
          <w:strike w:val="0"/>
          <w:noProof w:val="0"/>
          <w:color w:val="000000"/>
          <w:position w:val="0"/>
          <w:sz w:val="24"/>
          <w:u w:val="none"/>
          <w:vertAlign w:val="baseline"/>
        </w:rPr>
        <w:t>the Committee on Homeland Security and Governmental Affairs and the Committee on Armed Services in the Senate.</w:t>
      </w:r>
    </w:p>
    <w:p>
      <w:pPr>
        <w:keepNext w:val="0"/>
        <w:spacing w:before="120" w:after="0" w:line="300" w:lineRule="atLeast"/>
        <w:ind w:left="1080" w:right="0"/>
        <w:jc w:val="left"/>
      </w:pPr>
      <w:r>
        <w:rPr>
          <w:b/>
        </w:rPr>
        <w:t xml:space="preserve">(2)  </w:t>
      </w:r>
      <w:bookmarkStart w:id="5" w:name="Bookmark__a_2"/>
      <w:bookmarkEnd w:id="5"/>
      <w:r>
        <w:rPr>
          <w:rFonts w:ascii="times" w:eastAsia="times" w:hAnsi="times" w:cs="times"/>
          <w:b w:val="0"/>
          <w:i w:val="0"/>
          <w:strike w:val="0"/>
          <w:noProof w:val="0"/>
          <w:color w:val="000000"/>
          <w:position w:val="0"/>
          <w:sz w:val="24"/>
          <w:u w:val="none"/>
          <w:vertAlign w:val="baseline"/>
        </w:rPr>
        <w:t>Critical infrastructure. The term “critical infrastructure” has the meaning given that term in section 1016(e) of Public Law 107-56 (42 U.S.C. 5195c(e)).</w:t>
      </w:r>
    </w:p>
    <w:p>
      <w:pPr>
        <w:keepNext w:val="0"/>
        <w:spacing w:before="120" w:after="0" w:line="300" w:lineRule="atLeast"/>
        <w:ind w:left="1080" w:right="0"/>
        <w:jc w:val="left"/>
      </w:pPr>
      <w:r>
        <w:rPr>
          <w:b/>
        </w:rPr>
        <w:t xml:space="preserve">(3)  </w:t>
      </w:r>
      <w:bookmarkStart w:id="6" w:name="Bookmark__a_3"/>
      <w:bookmarkEnd w:id="6"/>
      <w:r>
        <w:rPr>
          <w:rFonts w:ascii="times" w:eastAsia="times" w:hAnsi="times" w:cs="times"/>
          <w:b w:val="0"/>
          <w:i w:val="0"/>
          <w:strike w:val="0"/>
          <w:noProof w:val="0"/>
          <w:color w:val="000000"/>
          <w:position w:val="0"/>
          <w:sz w:val="24"/>
          <w:u w:val="none"/>
          <w:vertAlign w:val="baseline"/>
        </w:rPr>
        <w:t>Department. The term “Department” means the Department of Homeland Security.</w:t>
      </w:r>
    </w:p>
    <w:p>
      <w:pPr>
        <w:keepNext w:val="0"/>
        <w:spacing w:before="120" w:after="0" w:line="300" w:lineRule="atLeast"/>
        <w:ind w:left="1080" w:right="0"/>
        <w:jc w:val="left"/>
      </w:pPr>
      <w:r>
        <w:rPr>
          <w:b/>
        </w:rPr>
        <w:t xml:space="preserve">(4)  </w:t>
      </w:r>
      <w:bookmarkStart w:id="7" w:name="Bookmark__a_4"/>
      <w:bookmarkEnd w:id="7"/>
      <w:r>
        <w:rPr>
          <w:rFonts w:ascii="times" w:eastAsia="times" w:hAnsi="times" w:cs="times"/>
          <w:b w:val="0"/>
          <w:i w:val="0"/>
          <w:strike w:val="0"/>
          <w:noProof w:val="0"/>
          <w:color w:val="000000"/>
          <w:position w:val="0"/>
          <w:sz w:val="24"/>
          <w:u w:val="none"/>
          <w:vertAlign w:val="baseline"/>
        </w:rPr>
        <w:t>Director. The term “Director” means the Director of the Cybersecurity and Infrastructure Security Agency of the Department.</w:t>
      </w:r>
    </w:p>
    <w:p>
      <w:pPr>
        <w:keepNext w:val="0"/>
        <w:spacing w:before="120" w:after="0" w:line="300" w:lineRule="atLeast"/>
        <w:ind w:left="1080" w:right="0"/>
        <w:jc w:val="left"/>
      </w:pPr>
      <w:r>
        <w:rPr>
          <w:b/>
        </w:rPr>
        <w:t xml:space="preserve">(5)  </w:t>
      </w:r>
      <w:bookmarkStart w:id="8" w:name="Bookmark__a_5"/>
      <w:bookmarkEnd w:id="8"/>
      <w:r>
        <w:rPr>
          <w:rFonts w:ascii="times" w:eastAsia="times" w:hAnsi="times" w:cs="times"/>
          <w:b w:val="0"/>
          <w:i w:val="0"/>
          <w:strike w:val="0"/>
          <w:noProof w:val="0"/>
          <w:color w:val="000000"/>
          <w:position w:val="0"/>
          <w:sz w:val="24"/>
          <w:u w:val="none"/>
          <w:vertAlign w:val="baseline"/>
        </w:rPr>
        <w:t>Secretary. The term “Secretary” means the Secretary of Homeland Security.</w:t>
      </w:r>
    </w:p>
    <w:p>
      <w:pPr>
        <w:keepNext w:val="0"/>
        <w:spacing w:before="120" w:after="0" w:line="300" w:lineRule="atLeast"/>
        <w:ind w:left="1080" w:right="0"/>
        <w:jc w:val="left"/>
      </w:pPr>
      <w:r>
        <w:rPr>
          <w:b/>
        </w:rPr>
        <w:t xml:space="preserve">(6)  </w:t>
      </w:r>
      <w:bookmarkStart w:id="9" w:name="Bookmark__a_6"/>
      <w:bookmarkEnd w:id="9"/>
      <w:r>
        <w:rPr>
          <w:rFonts w:ascii="times" w:eastAsia="times" w:hAnsi="times" w:cs="times"/>
          <w:b w:val="0"/>
          <w:i w:val="0"/>
          <w:strike w:val="0"/>
          <w:noProof w:val="0"/>
          <w:color w:val="000000"/>
          <w:position w:val="0"/>
          <w:sz w:val="24"/>
          <w:u w:val="none"/>
          <w:vertAlign w:val="baseline"/>
        </w:rPr>
        <w:t>Sector risk management agency. The term “sector risk management agency” has the meaning given the term “Sector-Specific Agency” in section 2201(5) of the Homeland Security Act of 2002 (6 U.S.C. 651(5)).</w:t>
      </w:r>
    </w:p>
    <w:p>
      <w:pPr>
        <w:keepNext w:val="0"/>
        <w:spacing w:before="120" w:after="0" w:line="300" w:lineRule="atLeast"/>
        <w:ind w:left="1080" w:right="0"/>
        <w:jc w:val="left"/>
      </w:pPr>
      <w:r>
        <w:rPr>
          <w:b/>
        </w:rPr>
        <w:t xml:space="preserve">(7)  </w:t>
      </w:r>
      <w:bookmarkStart w:id="10" w:name="Bookmark__a_7"/>
      <w:bookmarkEnd w:id="10"/>
      <w:r>
        <w:rPr>
          <w:rFonts w:ascii="times" w:eastAsia="times" w:hAnsi="times" w:cs="times"/>
          <w:b w:val="0"/>
          <w:i w:val="0"/>
          <w:strike w:val="0"/>
          <w:noProof w:val="0"/>
          <w:color w:val="000000"/>
          <w:position w:val="0"/>
          <w:sz w:val="24"/>
          <w:u w:val="none"/>
          <w:vertAlign w:val="baseline"/>
        </w:rPr>
        <w:t>Sector Risk Management Agency. The term “Sector Risk Management Agency” has the meaning given the term in section 2200 of the Homeland Security Act of 2002 [6 USCS § 650].</w:t>
      </w:r>
    </w:p>
    <w:p>
      <w:pPr>
        <w:spacing w:before="120" w:line="240" w:lineRule="atLeast"/>
        <w:ind w:left="720"/>
      </w:pPr>
      <w:r>
        <w:rPr>
          <w:b/>
        </w:rPr>
        <w:t xml:space="preserve">(b) Critical infrastructure sector designation.   </w:t>
      </w:r>
      <w:bookmarkStart w:id="11" w:name="Bookmark__b"/>
      <w:bookmarkEnd w:id="11"/>
    </w:p>
    <w:p>
      <w:pPr>
        <w:keepNext w:val="0"/>
        <w:spacing w:before="120" w:after="0" w:line="300" w:lineRule="atLeast"/>
        <w:ind w:left="1080" w:right="0"/>
        <w:jc w:val="left"/>
      </w:pPr>
      <w:r>
        <w:rPr>
          <w:b/>
        </w:rPr>
        <w:t xml:space="preserve">(1)  </w:t>
      </w:r>
      <w:bookmarkStart w:id="12" w:name="Bookmark__b_1"/>
      <w:bookmarkEnd w:id="12"/>
      <w:r>
        <w:rPr>
          <w:rFonts w:ascii="times" w:eastAsia="times" w:hAnsi="times" w:cs="times"/>
          <w:b w:val="0"/>
          <w:i w:val="0"/>
          <w:strike w:val="0"/>
          <w:noProof w:val="0"/>
          <w:color w:val="000000"/>
          <w:position w:val="0"/>
          <w:sz w:val="24"/>
          <w:u w:val="none"/>
          <w:vertAlign w:val="baseline"/>
        </w:rPr>
        <w:t>Initial review. Not later than 180 days after the date of the enactment of this section [enacted Jan. 1, 2021], the Secretary, in consultation with the heads of Sector Risk Management Agencies, shall—</w:t>
      </w:r>
    </w:p>
    <w:p>
      <w:pPr>
        <w:keepNext w:val="0"/>
        <w:spacing w:before="120" w:after="0" w:line="300" w:lineRule="atLeast"/>
        <w:ind w:left="1440" w:right="0"/>
        <w:jc w:val="left"/>
      </w:pPr>
      <w:r>
        <w:rPr>
          <w:b/>
        </w:rPr>
        <w:t xml:space="preserve">(A)  </w:t>
      </w:r>
      <w:bookmarkStart w:id="13" w:name="Bookmark__b_1_a"/>
      <w:bookmarkEnd w:id="13"/>
      <w:r>
        <w:rPr>
          <w:rFonts w:ascii="times" w:eastAsia="times" w:hAnsi="times" w:cs="times"/>
          <w:b w:val="0"/>
          <w:i w:val="0"/>
          <w:strike w:val="0"/>
          <w:noProof w:val="0"/>
          <w:color w:val="000000"/>
          <w:position w:val="0"/>
          <w:sz w:val="24"/>
          <w:u w:val="none"/>
          <w:vertAlign w:val="baseline"/>
        </w:rPr>
        <w:t>review the current framework for securing critical infrastructure, as described in section 2202(c)(4) of the Homeland Security Act (6 U.S.C. 652(c)(4)) and Presidential Policy Directive 21; and</w:t>
      </w:r>
    </w:p>
    <w:p>
      <w:pPr>
        <w:keepNext w:val="0"/>
        <w:spacing w:before="120" w:after="0" w:line="300" w:lineRule="atLeast"/>
        <w:ind w:left="1440" w:right="0"/>
        <w:jc w:val="left"/>
      </w:pPr>
      <w:r>
        <w:rPr>
          <w:b/>
        </w:rPr>
        <w:t xml:space="preserve">(B)  </w:t>
      </w:r>
      <w:bookmarkStart w:id="14" w:name="Bookmark__b_1_b"/>
      <w:bookmarkEnd w:id="14"/>
      <w:r>
        <w:rPr>
          <w:rFonts w:ascii="times" w:eastAsia="times" w:hAnsi="times" w:cs="times"/>
          <w:b w:val="0"/>
          <w:i w:val="0"/>
          <w:strike w:val="0"/>
          <w:noProof w:val="0"/>
          <w:color w:val="000000"/>
          <w:position w:val="0"/>
          <w:sz w:val="24"/>
          <w:u w:val="none"/>
          <w:vertAlign w:val="baseline"/>
        </w:rPr>
        <w:t>submit to the President and appropriate congressional committees a report that includes—</w:t>
      </w:r>
    </w:p>
    <w:p>
      <w:pPr>
        <w:keepNext w:val="0"/>
        <w:spacing w:before="120" w:after="0" w:line="300" w:lineRule="atLeast"/>
        <w:ind w:left="1800" w:right="0"/>
        <w:jc w:val="left"/>
      </w:pPr>
      <w:r>
        <w:rPr>
          <w:b/>
        </w:rPr>
        <w:t xml:space="preserve">(i)  </w:t>
      </w:r>
      <w:bookmarkStart w:id="15" w:name="Bookmark__b_1_b_i"/>
      <w:bookmarkEnd w:id="15"/>
      <w:r>
        <w:rPr>
          <w:rFonts w:ascii="times" w:eastAsia="times" w:hAnsi="times" w:cs="times"/>
          <w:b w:val="0"/>
          <w:i w:val="0"/>
          <w:strike w:val="0"/>
          <w:noProof w:val="0"/>
          <w:color w:val="000000"/>
          <w:position w:val="0"/>
          <w:sz w:val="24"/>
          <w:u w:val="none"/>
          <w:vertAlign w:val="baseline"/>
        </w:rPr>
        <w:t>information relating to—</w:t>
      </w:r>
    </w:p>
    <w:p>
      <w:pPr>
        <w:keepNext w:val="0"/>
        <w:spacing w:before="120" w:after="0" w:line="300" w:lineRule="atLeast"/>
        <w:ind w:left="2160" w:right="0"/>
        <w:jc w:val="left"/>
      </w:pPr>
      <w:r>
        <w:rPr>
          <w:b/>
        </w:rPr>
        <w:t xml:space="preserve">(I)  </w:t>
      </w:r>
      <w:bookmarkStart w:id="16" w:name="Bookmark__b_1_b_i_i"/>
      <w:bookmarkEnd w:id="16"/>
      <w:r>
        <w:rPr>
          <w:rFonts w:ascii="times" w:eastAsia="times" w:hAnsi="times" w:cs="times"/>
          <w:b w:val="0"/>
          <w:i w:val="0"/>
          <w:strike w:val="0"/>
          <w:noProof w:val="0"/>
          <w:color w:val="000000"/>
          <w:position w:val="0"/>
          <w:sz w:val="24"/>
          <w:u w:val="none"/>
          <w:vertAlign w:val="baseline"/>
        </w:rPr>
        <w:t>the analysis framework or methodology used to—</w:t>
      </w:r>
    </w:p>
    <w:p>
      <w:pPr>
        <w:keepNext w:val="0"/>
        <w:spacing w:before="120" w:after="0" w:line="300" w:lineRule="atLeast"/>
        <w:ind w:left="2520" w:right="0"/>
        <w:jc w:val="left"/>
      </w:pPr>
      <w:r>
        <w:rPr>
          <w:b/>
        </w:rPr>
        <w:t xml:space="preserve">(aa)  </w:t>
      </w:r>
      <w:bookmarkStart w:id="17" w:name="Bookmark__b_1_b_i_i_aa"/>
      <w:bookmarkEnd w:id="17"/>
      <w:r>
        <w:rPr>
          <w:rFonts w:ascii="times" w:eastAsia="times" w:hAnsi="times" w:cs="times"/>
          <w:b w:val="0"/>
          <w:i w:val="0"/>
          <w:strike w:val="0"/>
          <w:noProof w:val="0"/>
          <w:color w:val="000000"/>
          <w:position w:val="0"/>
          <w:sz w:val="24"/>
          <w:u w:val="none"/>
          <w:vertAlign w:val="baseline"/>
        </w:rPr>
        <w:t>evaluate the current framework for securing critical infrastructure referred to in subparagraph (A); and</w:t>
      </w:r>
    </w:p>
    <w:p>
      <w:pPr>
        <w:keepNext w:val="0"/>
        <w:spacing w:before="120" w:after="0" w:line="300" w:lineRule="atLeast"/>
        <w:ind w:left="2520" w:right="0"/>
        <w:jc w:val="left"/>
      </w:pPr>
      <w:r>
        <w:rPr>
          <w:b/>
        </w:rPr>
        <w:t xml:space="preserve">(bb)  </w:t>
      </w:r>
      <w:bookmarkStart w:id="18" w:name="Bookmark__b_1_b_i_i_bb"/>
      <w:bookmarkEnd w:id="18"/>
      <w:r>
        <w:rPr>
          <w:rFonts w:ascii="times" w:eastAsia="times" w:hAnsi="times" w:cs="times"/>
          <w:b w:val="0"/>
          <w:i w:val="0"/>
          <w:strike w:val="0"/>
          <w:noProof w:val="0"/>
          <w:color w:val="000000"/>
          <w:position w:val="0"/>
          <w:sz w:val="24"/>
          <w:u w:val="none"/>
          <w:vertAlign w:val="baseline"/>
        </w:rPr>
        <w:t>develop recommendations to—</w:t>
      </w:r>
    </w:p>
    <w:p>
      <w:pPr>
        <w:keepNext w:val="0"/>
        <w:spacing w:before="120" w:after="0" w:line="300" w:lineRule="atLeast"/>
        <w:ind w:left="2880" w:right="0"/>
        <w:jc w:val="left"/>
      </w:pPr>
      <w:r>
        <w:rPr>
          <w:b/>
        </w:rPr>
        <w:t xml:space="preserve">(AA)  </w:t>
      </w:r>
      <w:bookmarkStart w:id="19" w:name="Bookmark__b_1_b_i_i_bb_aa"/>
      <w:bookmarkEnd w:id="19"/>
      <w:r>
        <w:rPr>
          <w:rFonts w:ascii="times" w:eastAsia="times" w:hAnsi="times" w:cs="times"/>
          <w:b w:val="0"/>
          <w:i w:val="0"/>
          <w:strike w:val="0"/>
          <w:noProof w:val="0"/>
          <w:color w:val="000000"/>
          <w:position w:val="0"/>
          <w:sz w:val="24"/>
          <w:u w:val="none"/>
          <w:vertAlign w:val="baseline"/>
        </w:rPr>
        <w:t>revise the current list of critical infrastructure sectors designated pursuant to Presidential Policy Directive 21, any successor or related document, or policy; or</w:t>
      </w:r>
    </w:p>
    <w:p>
      <w:pPr>
        <w:keepNext w:val="0"/>
        <w:spacing w:before="120" w:after="0" w:line="300" w:lineRule="atLeast"/>
        <w:ind w:left="2880" w:right="0"/>
        <w:jc w:val="left"/>
      </w:pPr>
      <w:r>
        <w:rPr>
          <w:b/>
        </w:rPr>
        <w:t xml:space="preserve">(BB)  </w:t>
      </w:r>
      <w:bookmarkStart w:id="20" w:name="Bookmark__b_1_b_i_i_bb_bb"/>
      <w:bookmarkEnd w:id="20"/>
      <w:r>
        <w:rPr>
          <w:rFonts w:ascii="times" w:eastAsia="times" w:hAnsi="times" w:cs="times"/>
          <w:b w:val="0"/>
          <w:i w:val="0"/>
          <w:strike w:val="0"/>
          <w:noProof w:val="0"/>
          <w:color w:val="000000"/>
          <w:position w:val="0"/>
          <w:sz w:val="24"/>
          <w:u w:val="none"/>
          <w:vertAlign w:val="baseline"/>
        </w:rPr>
        <w:t>identify and designate any subsectors of such sectors;</w:t>
      </w:r>
    </w:p>
    <w:p>
      <w:pPr>
        <w:keepNext w:val="0"/>
        <w:spacing w:before="120" w:after="0" w:line="300" w:lineRule="atLeast"/>
        <w:ind w:left="2160" w:right="0"/>
        <w:jc w:val="left"/>
      </w:pPr>
      <w:r>
        <w:rPr>
          <w:b/>
        </w:rPr>
        <w:t xml:space="preserve">(II)  </w:t>
      </w:r>
      <w:bookmarkStart w:id="21" w:name="Bookmark__b_1_b_i_ii"/>
      <w:bookmarkEnd w:id="21"/>
      <w:r>
        <w:rPr>
          <w:rFonts w:ascii="times" w:eastAsia="times" w:hAnsi="times" w:cs="times"/>
          <w:b w:val="0"/>
          <w:i w:val="0"/>
          <w:strike w:val="0"/>
          <w:noProof w:val="0"/>
          <w:color w:val="000000"/>
          <w:position w:val="0"/>
          <w:sz w:val="24"/>
          <w:u w:val="none"/>
          <w:vertAlign w:val="baseline"/>
        </w:rPr>
        <w:t>the data, metrics, and other information used to develop the recommendations required under clause (ii); and</w:t>
      </w:r>
    </w:p>
    <w:p>
      <w:pPr>
        <w:keepNext w:val="0"/>
        <w:spacing w:before="120" w:after="0" w:line="300" w:lineRule="atLeast"/>
        <w:ind w:left="1800" w:right="0"/>
        <w:jc w:val="left"/>
      </w:pPr>
      <w:r>
        <w:rPr>
          <w:b/>
        </w:rPr>
        <w:t xml:space="preserve">(ii)  </w:t>
      </w:r>
      <w:bookmarkStart w:id="22" w:name="Bookmark__b_1_b_ii"/>
      <w:bookmarkEnd w:id="22"/>
      <w:r>
        <w:rPr>
          <w:rFonts w:ascii="times" w:eastAsia="times" w:hAnsi="times" w:cs="times"/>
          <w:b w:val="0"/>
          <w:i w:val="0"/>
          <w:strike w:val="0"/>
          <w:noProof w:val="0"/>
          <w:color w:val="000000"/>
          <w:position w:val="0"/>
          <w:sz w:val="24"/>
          <w:u w:val="none"/>
          <w:vertAlign w:val="baseline"/>
        </w:rPr>
        <w:t>recommendations relating to—</w:t>
      </w:r>
    </w:p>
    <w:p>
      <w:pPr>
        <w:keepNext w:val="0"/>
        <w:spacing w:before="120" w:after="0" w:line="300" w:lineRule="atLeast"/>
        <w:ind w:left="2160" w:right="0"/>
        <w:jc w:val="left"/>
      </w:pPr>
      <w:r>
        <w:rPr>
          <w:b/>
        </w:rPr>
        <w:t xml:space="preserve">(I)  </w:t>
      </w:r>
      <w:bookmarkStart w:id="23" w:name="Bookmark__b_1_b_ii_i"/>
      <w:bookmarkEnd w:id="23"/>
      <w:r>
        <w:rPr>
          <w:rFonts w:ascii="times" w:eastAsia="times" w:hAnsi="times" w:cs="times"/>
          <w:b w:val="0"/>
          <w:i w:val="0"/>
          <w:strike w:val="0"/>
          <w:noProof w:val="0"/>
          <w:color w:val="000000"/>
          <w:position w:val="0"/>
          <w:sz w:val="24"/>
          <w:u w:val="none"/>
          <w:vertAlign w:val="baseline"/>
        </w:rPr>
        <w:t>revising—</w:t>
      </w:r>
    </w:p>
    <w:p>
      <w:pPr>
        <w:keepNext w:val="0"/>
        <w:spacing w:before="120" w:after="0" w:line="300" w:lineRule="atLeast"/>
        <w:ind w:left="2520" w:right="0"/>
        <w:jc w:val="left"/>
      </w:pPr>
      <w:r>
        <w:rPr>
          <w:b/>
        </w:rPr>
        <w:t xml:space="preserve">(aa)  </w:t>
      </w:r>
      <w:bookmarkStart w:id="24" w:name="Bookmark__b_1_b_ii_i_aa"/>
      <w:bookmarkEnd w:id="24"/>
      <w:r>
        <w:rPr>
          <w:rFonts w:ascii="times" w:eastAsia="times" w:hAnsi="times" w:cs="times"/>
          <w:b w:val="0"/>
          <w:i w:val="0"/>
          <w:strike w:val="0"/>
          <w:noProof w:val="0"/>
          <w:color w:val="000000"/>
          <w:position w:val="0"/>
          <w:sz w:val="24"/>
          <w:u w:val="none"/>
          <w:vertAlign w:val="baseline"/>
        </w:rPr>
        <w:t>the current framework for securing critical infrastructure referred to in subparagraph (A);</w:t>
      </w:r>
    </w:p>
    <w:p>
      <w:pPr>
        <w:keepNext w:val="0"/>
        <w:spacing w:before="120" w:after="0" w:line="300" w:lineRule="atLeast"/>
        <w:ind w:left="2520" w:right="0"/>
        <w:jc w:val="left"/>
      </w:pPr>
      <w:r>
        <w:rPr>
          <w:b/>
        </w:rPr>
        <w:t xml:space="preserve">(bb)  </w:t>
      </w:r>
      <w:bookmarkStart w:id="25" w:name="Bookmark__b_1_b_ii_i_bb"/>
      <w:bookmarkEnd w:id="25"/>
      <w:r>
        <w:rPr>
          <w:rFonts w:ascii="times" w:eastAsia="times" w:hAnsi="times" w:cs="times"/>
          <w:b w:val="0"/>
          <w:i w:val="0"/>
          <w:strike w:val="0"/>
          <w:noProof w:val="0"/>
          <w:color w:val="000000"/>
          <w:position w:val="0"/>
          <w:sz w:val="24"/>
          <w:u w:val="none"/>
          <w:vertAlign w:val="baseline"/>
        </w:rPr>
        <w:t>the current list of critical infrastructure sectors designated pursuant to Presidential Policy Directive 21, any successor or related document, or policy; or</w:t>
      </w:r>
    </w:p>
    <w:p>
      <w:pPr>
        <w:keepNext w:val="0"/>
        <w:spacing w:before="120" w:after="0" w:line="300" w:lineRule="atLeast"/>
        <w:ind w:left="2520" w:right="0"/>
        <w:jc w:val="left"/>
      </w:pPr>
      <w:r>
        <w:rPr>
          <w:b/>
        </w:rPr>
        <w:t xml:space="preserve">(cc)  </w:t>
      </w:r>
      <w:bookmarkStart w:id="26" w:name="Bookmark__b_1_b_ii_i_cc"/>
      <w:bookmarkEnd w:id="26"/>
      <w:r>
        <w:rPr>
          <w:rFonts w:ascii="times" w:eastAsia="times" w:hAnsi="times" w:cs="times"/>
          <w:b w:val="0"/>
          <w:i w:val="0"/>
          <w:strike w:val="0"/>
          <w:noProof w:val="0"/>
          <w:color w:val="000000"/>
          <w:position w:val="0"/>
          <w:sz w:val="24"/>
          <w:u w:val="none"/>
          <w:vertAlign w:val="baseline"/>
        </w:rPr>
        <w:t>the identification and designation of any subsectors of such sectors; and</w:t>
      </w:r>
    </w:p>
    <w:p>
      <w:pPr>
        <w:keepNext w:val="0"/>
        <w:spacing w:before="120" w:after="0" w:line="300" w:lineRule="atLeast"/>
        <w:ind w:left="2160" w:right="0"/>
        <w:jc w:val="left"/>
      </w:pPr>
      <w:r>
        <w:rPr>
          <w:b/>
        </w:rPr>
        <w:t xml:space="preserve">(II)  </w:t>
      </w:r>
      <w:bookmarkStart w:id="27" w:name="Bookmark__b_1_b_ii_ii"/>
      <w:bookmarkEnd w:id="27"/>
      <w:r>
        <w:rPr>
          <w:rFonts w:ascii="times" w:eastAsia="times" w:hAnsi="times" w:cs="times"/>
          <w:b w:val="0"/>
          <w:i w:val="0"/>
          <w:strike w:val="0"/>
          <w:noProof w:val="0"/>
          <w:color w:val="000000"/>
          <w:position w:val="0"/>
          <w:sz w:val="24"/>
          <w:u w:val="none"/>
          <w:vertAlign w:val="baseline"/>
        </w:rPr>
        <w:t>any revisions to the list of designated Federal departments or agencies that serve as the Sector Risk Management Agency for a sector or subsector of such section, necessary to comply with paragraph (3)(B).</w:t>
      </w:r>
    </w:p>
    <w:p>
      <w:pPr>
        <w:keepNext w:val="0"/>
        <w:spacing w:before="120" w:after="0" w:line="300" w:lineRule="atLeast"/>
        <w:ind w:left="1080" w:right="0"/>
        <w:jc w:val="left"/>
      </w:pPr>
      <w:r>
        <w:rPr>
          <w:b/>
        </w:rPr>
        <w:t xml:space="preserve">(2)  </w:t>
      </w:r>
      <w:bookmarkStart w:id="28" w:name="Bookmark__b_2"/>
      <w:bookmarkEnd w:id="28"/>
      <w:r>
        <w:rPr>
          <w:rFonts w:ascii="times" w:eastAsia="times" w:hAnsi="times" w:cs="times"/>
          <w:b w:val="0"/>
          <w:i w:val="0"/>
          <w:strike w:val="0"/>
          <w:noProof w:val="0"/>
          <w:color w:val="000000"/>
          <w:position w:val="0"/>
          <w:sz w:val="24"/>
          <w:u w:val="none"/>
          <w:vertAlign w:val="baseline"/>
        </w:rPr>
        <w:t>Periodic evaluation by the Secretary. At least once every five years, the Secretary, in consultation with the Director and the heads of Sector Risk Management Agencies, shall—</w:t>
      </w:r>
    </w:p>
    <w:p>
      <w:pPr>
        <w:keepNext w:val="0"/>
        <w:spacing w:before="120" w:after="0" w:line="300" w:lineRule="atLeast"/>
        <w:ind w:left="1440" w:right="0"/>
        <w:jc w:val="left"/>
      </w:pPr>
      <w:r>
        <w:rPr>
          <w:b/>
        </w:rPr>
        <w:t xml:space="preserve">(A)  </w:t>
      </w:r>
      <w:bookmarkStart w:id="29" w:name="Bookmark__b_2_a"/>
      <w:bookmarkEnd w:id="29"/>
      <w:r>
        <w:rPr>
          <w:rFonts w:ascii="times" w:eastAsia="times" w:hAnsi="times" w:cs="times"/>
          <w:b w:val="0"/>
          <w:i w:val="0"/>
          <w:strike w:val="0"/>
          <w:noProof w:val="0"/>
          <w:color w:val="000000"/>
          <w:position w:val="0"/>
          <w:sz w:val="24"/>
          <w:u w:val="none"/>
          <w:vertAlign w:val="baseline"/>
        </w:rPr>
        <w:t>evaluate the current list of designated critical infrastructure sectors and subsectors of such sectors and the appropriateness of Sector Risk Management Agency designations, as set forth in Presidential Policy Directive 21, any successor or related document, or policy; and</w:t>
      </w:r>
    </w:p>
    <w:p>
      <w:pPr>
        <w:keepNext w:val="0"/>
        <w:spacing w:before="120" w:after="0" w:line="300" w:lineRule="atLeast"/>
        <w:ind w:left="1440" w:right="0"/>
        <w:jc w:val="left"/>
      </w:pPr>
      <w:r>
        <w:rPr>
          <w:b/>
        </w:rPr>
        <w:t xml:space="preserve">(B)  </w:t>
      </w:r>
      <w:bookmarkStart w:id="30" w:name="Bookmark__b_2_b"/>
      <w:bookmarkEnd w:id="30"/>
      <w:r>
        <w:rPr>
          <w:rFonts w:ascii="times" w:eastAsia="times" w:hAnsi="times" w:cs="times"/>
          <w:b w:val="0"/>
          <w:i w:val="0"/>
          <w:strike w:val="0"/>
          <w:noProof w:val="0"/>
          <w:color w:val="000000"/>
          <w:position w:val="0"/>
          <w:sz w:val="24"/>
          <w:u w:val="none"/>
          <w:vertAlign w:val="baseline"/>
        </w:rPr>
        <w:t>recommend, as appropriate, to the President—</w:t>
      </w:r>
    </w:p>
    <w:p>
      <w:pPr>
        <w:keepNext w:val="0"/>
        <w:spacing w:before="120" w:after="0" w:line="300" w:lineRule="atLeast"/>
        <w:ind w:left="1800" w:right="0"/>
        <w:jc w:val="left"/>
      </w:pPr>
      <w:r>
        <w:rPr>
          <w:b/>
        </w:rPr>
        <w:t xml:space="preserve">(i)  </w:t>
      </w:r>
      <w:bookmarkStart w:id="31" w:name="Bookmark__b_2_b_i"/>
      <w:bookmarkEnd w:id="31"/>
      <w:r>
        <w:rPr>
          <w:rFonts w:ascii="times" w:eastAsia="times" w:hAnsi="times" w:cs="times"/>
          <w:b w:val="0"/>
          <w:i w:val="0"/>
          <w:strike w:val="0"/>
          <w:noProof w:val="0"/>
          <w:color w:val="000000"/>
          <w:position w:val="0"/>
          <w:sz w:val="24"/>
          <w:u w:val="none"/>
          <w:vertAlign w:val="baseline"/>
        </w:rPr>
        <w:t>revisions to the current list of designated critical infrastructure sectors or subsectors of such sectors; and</w:t>
      </w:r>
    </w:p>
    <w:p>
      <w:pPr>
        <w:keepNext w:val="0"/>
        <w:spacing w:before="120" w:after="0" w:line="300" w:lineRule="atLeast"/>
        <w:ind w:left="1800" w:right="0"/>
        <w:jc w:val="left"/>
      </w:pPr>
      <w:r>
        <w:rPr>
          <w:b/>
        </w:rPr>
        <w:t xml:space="preserve">(ii)  </w:t>
      </w:r>
      <w:bookmarkStart w:id="32" w:name="Bookmark__b_2_b_ii"/>
      <w:bookmarkEnd w:id="32"/>
      <w:r>
        <w:rPr>
          <w:rFonts w:ascii="times" w:eastAsia="times" w:hAnsi="times" w:cs="times"/>
          <w:b w:val="0"/>
          <w:i w:val="0"/>
          <w:strike w:val="0"/>
          <w:noProof w:val="0"/>
          <w:color w:val="000000"/>
          <w:position w:val="0"/>
          <w:sz w:val="24"/>
          <w:u w:val="none"/>
          <w:vertAlign w:val="baseline"/>
        </w:rPr>
        <w:t>revisions to the designation of any Federal department or agency designated as the Sector Risk Management Agency for a sector or subsector of such sector.</w:t>
      </w:r>
    </w:p>
    <w:p>
      <w:pPr>
        <w:keepNext w:val="0"/>
        <w:spacing w:before="120" w:after="0" w:line="300" w:lineRule="atLeast"/>
        <w:ind w:left="1080" w:right="0"/>
        <w:jc w:val="left"/>
      </w:pPr>
      <w:r>
        <w:rPr>
          <w:b/>
        </w:rPr>
        <w:t xml:space="preserve">(3)  </w:t>
      </w:r>
      <w:bookmarkStart w:id="33" w:name="Bookmark__b_3"/>
      <w:bookmarkEnd w:id="33"/>
      <w:r>
        <w:rPr>
          <w:rFonts w:ascii="times" w:eastAsia="times" w:hAnsi="times" w:cs="times"/>
          <w:b w:val="0"/>
          <w:i w:val="0"/>
          <w:strike w:val="0"/>
          <w:noProof w:val="0"/>
          <w:color w:val="000000"/>
          <w:position w:val="0"/>
          <w:sz w:val="24"/>
          <w:u w:val="none"/>
          <w:vertAlign w:val="baseline"/>
        </w:rPr>
        <w:t>Review and revision by the President. Not later than 180 days after the Secretary submits a recommendation pursuant to paragraph (1) or (2), the President shall—</w:t>
      </w:r>
    </w:p>
    <w:p>
      <w:pPr>
        <w:keepNext w:val="0"/>
        <w:spacing w:before="120" w:after="0" w:line="300" w:lineRule="atLeast"/>
        <w:ind w:left="1440" w:right="0"/>
        <w:jc w:val="left"/>
      </w:pPr>
      <w:r>
        <w:rPr>
          <w:b/>
        </w:rPr>
        <w:t xml:space="preserve">(A)  </w:t>
      </w:r>
      <w:bookmarkStart w:id="34" w:name="Bookmark__b_3_a"/>
      <w:bookmarkEnd w:id="34"/>
      <w:r>
        <w:rPr>
          <w:rFonts w:ascii="times" w:eastAsia="times" w:hAnsi="times" w:cs="times"/>
          <w:b w:val="0"/>
          <w:i w:val="0"/>
          <w:strike w:val="0"/>
          <w:noProof w:val="0"/>
          <w:color w:val="000000"/>
          <w:position w:val="0"/>
          <w:sz w:val="24"/>
          <w:u w:val="none"/>
          <w:vertAlign w:val="baseline"/>
        </w:rPr>
        <w:t>review the recommendation and revise, as appropriate, the designation of a critical infrastructure sector or subsector or the designation of a Sector Risk Management Agency; and</w:t>
      </w:r>
    </w:p>
    <w:p>
      <w:pPr>
        <w:keepNext w:val="0"/>
        <w:spacing w:before="120" w:after="0" w:line="300" w:lineRule="atLeast"/>
        <w:ind w:left="1440" w:right="0"/>
        <w:jc w:val="left"/>
      </w:pPr>
      <w:r>
        <w:rPr>
          <w:b/>
        </w:rPr>
        <w:t xml:space="preserve">(B)  </w:t>
      </w:r>
      <w:bookmarkStart w:id="35" w:name="Bookmark__b_3_b"/>
      <w:bookmarkEnd w:id="35"/>
      <w:r>
        <w:rPr>
          <w:rFonts w:ascii="times" w:eastAsia="times" w:hAnsi="times" w:cs="times"/>
          <w:b w:val="0"/>
          <w:i w:val="0"/>
          <w:strike w:val="0"/>
          <w:noProof w:val="0"/>
          <w:color w:val="000000"/>
          <w:position w:val="0"/>
          <w:sz w:val="24"/>
          <w:u w:val="none"/>
          <w:vertAlign w:val="baseline"/>
        </w:rPr>
        <w:t>submit to the appropriate congressional committees, the Majority and Minority Leaders of the Senate, and the Speaker and Minority Leader of the House of Representatives, a report that includes—</w:t>
      </w:r>
    </w:p>
    <w:p>
      <w:pPr>
        <w:keepNext w:val="0"/>
        <w:spacing w:before="120" w:after="0" w:line="300" w:lineRule="atLeast"/>
        <w:ind w:left="1800" w:right="0"/>
        <w:jc w:val="left"/>
      </w:pPr>
      <w:r>
        <w:rPr>
          <w:b/>
        </w:rPr>
        <w:t xml:space="preserve">(i)  </w:t>
      </w:r>
      <w:bookmarkStart w:id="36" w:name="Bookmark__b_3_b_i"/>
      <w:bookmarkEnd w:id="36"/>
      <w:r>
        <w:rPr>
          <w:rFonts w:ascii="times" w:eastAsia="times" w:hAnsi="times" w:cs="times"/>
          <w:b w:val="0"/>
          <w:i w:val="0"/>
          <w:strike w:val="0"/>
          <w:noProof w:val="0"/>
          <w:color w:val="000000"/>
          <w:position w:val="0"/>
          <w:sz w:val="24"/>
          <w:u w:val="none"/>
          <w:vertAlign w:val="baseline"/>
        </w:rPr>
        <w:t>an explanation with respect to the basis for accepting or rejecting the recommendations of the Secretary; and</w:t>
      </w:r>
    </w:p>
    <w:p>
      <w:pPr>
        <w:keepNext w:val="0"/>
        <w:spacing w:before="120" w:after="0" w:line="300" w:lineRule="atLeast"/>
        <w:ind w:left="1800" w:right="0"/>
        <w:jc w:val="left"/>
      </w:pPr>
      <w:r>
        <w:rPr>
          <w:b/>
        </w:rPr>
        <w:t xml:space="preserve">(ii)  </w:t>
      </w:r>
      <w:bookmarkStart w:id="37" w:name="Bookmark__b_3_b_ii"/>
      <w:bookmarkEnd w:id="37"/>
      <w:r>
        <w:rPr>
          <w:rFonts w:ascii="times" w:eastAsia="times" w:hAnsi="times" w:cs="times"/>
          <w:b w:val="0"/>
          <w:i w:val="0"/>
          <w:strike w:val="0"/>
          <w:noProof w:val="0"/>
          <w:color w:val="000000"/>
          <w:position w:val="0"/>
          <w:sz w:val="24"/>
          <w:u w:val="none"/>
          <w:vertAlign w:val="baseline"/>
        </w:rPr>
        <w:t>information relating to the analysis framework, methodology, metrics, and data used to—</w:t>
      </w:r>
    </w:p>
    <w:p>
      <w:pPr>
        <w:keepNext w:val="0"/>
        <w:spacing w:before="120" w:after="0" w:line="300" w:lineRule="atLeast"/>
        <w:ind w:left="2160" w:right="0"/>
        <w:jc w:val="left"/>
      </w:pPr>
      <w:r>
        <w:rPr>
          <w:b/>
        </w:rPr>
        <w:t xml:space="preserve">(I)  </w:t>
      </w:r>
      <w:bookmarkStart w:id="38" w:name="Bookmark__b_3_b_ii_i"/>
      <w:bookmarkEnd w:id="38"/>
      <w:r>
        <w:rPr>
          <w:rFonts w:ascii="times" w:eastAsia="times" w:hAnsi="times" w:cs="times"/>
          <w:b w:val="0"/>
          <w:i w:val="0"/>
          <w:strike w:val="0"/>
          <w:noProof w:val="0"/>
          <w:color w:val="000000"/>
          <w:position w:val="0"/>
          <w:sz w:val="24"/>
          <w:u w:val="none"/>
          <w:vertAlign w:val="baseline"/>
        </w:rPr>
        <w:t>evaluate the current framework for securing critical infrastructure referred to in paragraph (1)(A); and</w:t>
      </w:r>
    </w:p>
    <w:p>
      <w:pPr>
        <w:keepNext w:val="0"/>
        <w:spacing w:before="120" w:after="0" w:line="300" w:lineRule="atLeast"/>
        <w:ind w:left="2160" w:right="0"/>
        <w:jc w:val="left"/>
      </w:pPr>
      <w:r>
        <w:rPr>
          <w:b/>
        </w:rPr>
        <w:t xml:space="preserve">(II)  </w:t>
      </w:r>
      <w:bookmarkStart w:id="39" w:name="Bookmark__b_3_b_ii_ii"/>
      <w:bookmarkEnd w:id="39"/>
      <w:r>
        <w:rPr>
          <w:rFonts w:ascii="times" w:eastAsia="times" w:hAnsi="times" w:cs="times"/>
          <w:b w:val="0"/>
          <w:i w:val="0"/>
          <w:strike w:val="0"/>
          <w:noProof w:val="0"/>
          <w:color w:val="000000"/>
          <w:position w:val="0"/>
          <w:sz w:val="24"/>
          <w:u w:val="none"/>
          <w:vertAlign w:val="baseline"/>
        </w:rPr>
        <w:t>develop—</w:t>
      </w:r>
    </w:p>
    <w:p>
      <w:pPr>
        <w:keepNext w:val="0"/>
        <w:spacing w:before="120" w:after="0" w:line="300" w:lineRule="atLeast"/>
        <w:ind w:left="2520" w:right="0"/>
        <w:jc w:val="left"/>
      </w:pPr>
      <w:r>
        <w:rPr>
          <w:b/>
        </w:rPr>
        <w:t xml:space="preserve">(aa)  </w:t>
      </w:r>
      <w:bookmarkStart w:id="40" w:name="Bookmark__b_3_b_ii_ii_aa"/>
      <w:bookmarkEnd w:id="40"/>
      <w:r>
        <w:rPr>
          <w:rFonts w:ascii="times" w:eastAsia="times" w:hAnsi="times" w:cs="times"/>
          <w:b w:val="0"/>
          <w:i w:val="0"/>
          <w:strike w:val="0"/>
          <w:noProof w:val="0"/>
          <w:color w:val="000000"/>
          <w:position w:val="0"/>
          <w:sz w:val="24"/>
          <w:u w:val="none"/>
          <w:vertAlign w:val="baseline"/>
        </w:rPr>
        <w:t>recommendations to revise—</w:t>
      </w:r>
    </w:p>
    <w:p>
      <w:pPr>
        <w:keepNext w:val="0"/>
        <w:spacing w:before="120" w:after="0" w:line="300" w:lineRule="atLeast"/>
        <w:ind w:left="2880" w:right="0"/>
        <w:jc w:val="left"/>
      </w:pPr>
      <w:r>
        <w:rPr>
          <w:b/>
        </w:rPr>
        <w:t xml:space="preserve">(AA)  </w:t>
      </w:r>
      <w:bookmarkStart w:id="41" w:name="Bookmark__b_3_b_ii_ii_aa_aa"/>
      <w:bookmarkEnd w:id="41"/>
      <w:r>
        <w:rPr>
          <w:rFonts w:ascii="times" w:eastAsia="times" w:hAnsi="times" w:cs="times"/>
          <w:b w:val="0"/>
          <w:i w:val="0"/>
          <w:strike w:val="0"/>
          <w:noProof w:val="0"/>
          <w:color w:val="000000"/>
          <w:position w:val="0"/>
          <w:sz w:val="24"/>
          <w:u w:val="none"/>
          <w:vertAlign w:val="baseline"/>
        </w:rPr>
        <w:t>the list of critical infrastructure sectors designated pursuant to Presidential Policy Directive 21, any successor or related document, or policy; or</w:t>
      </w:r>
    </w:p>
    <w:p>
      <w:pPr>
        <w:keepNext w:val="0"/>
        <w:spacing w:before="120" w:after="0" w:line="300" w:lineRule="atLeast"/>
        <w:ind w:left="2880" w:right="0"/>
        <w:jc w:val="left"/>
      </w:pPr>
      <w:r>
        <w:rPr>
          <w:b/>
        </w:rPr>
        <w:t xml:space="preserve">(BB)  </w:t>
      </w:r>
      <w:bookmarkStart w:id="42" w:name="Bookmark__b_3_b_ii_ii_aa_bb"/>
      <w:bookmarkEnd w:id="42"/>
      <w:r>
        <w:rPr>
          <w:rFonts w:ascii="times" w:eastAsia="times" w:hAnsi="times" w:cs="times"/>
          <w:b w:val="0"/>
          <w:i w:val="0"/>
          <w:strike w:val="0"/>
          <w:noProof w:val="0"/>
          <w:color w:val="000000"/>
          <w:position w:val="0"/>
          <w:sz w:val="24"/>
          <w:u w:val="none"/>
          <w:vertAlign w:val="baseline"/>
        </w:rPr>
        <w:t>the designation of any subsectors of such sectors; and</w:t>
      </w:r>
    </w:p>
    <w:p>
      <w:pPr>
        <w:keepNext w:val="0"/>
        <w:spacing w:before="120" w:after="0" w:line="300" w:lineRule="atLeast"/>
        <w:ind w:left="2520" w:right="0"/>
        <w:jc w:val="left"/>
      </w:pPr>
      <w:r>
        <w:rPr>
          <w:b/>
        </w:rPr>
        <w:t xml:space="preserve">(bb)  </w:t>
      </w:r>
      <w:bookmarkStart w:id="43" w:name="Bookmark__b_3_b_ii_ii_bb"/>
      <w:bookmarkEnd w:id="43"/>
      <w:r>
        <w:rPr>
          <w:rFonts w:ascii="times" w:eastAsia="times" w:hAnsi="times" w:cs="times"/>
          <w:b w:val="0"/>
          <w:i w:val="0"/>
          <w:strike w:val="0"/>
          <w:noProof w:val="0"/>
          <w:color w:val="000000"/>
          <w:position w:val="0"/>
          <w:sz w:val="24"/>
          <w:u w:val="none"/>
          <w:vertAlign w:val="baseline"/>
        </w:rPr>
        <w:t>the recommendations of the Secretary.</w:t>
      </w:r>
    </w:p>
    <w:p>
      <w:pPr>
        <w:keepNext w:val="0"/>
        <w:spacing w:before="120" w:after="0" w:line="300" w:lineRule="atLeast"/>
        <w:ind w:left="1080" w:right="0"/>
        <w:jc w:val="left"/>
      </w:pPr>
      <w:r>
        <w:rPr>
          <w:b/>
        </w:rPr>
        <w:t xml:space="preserve">(4)  </w:t>
      </w:r>
      <w:bookmarkStart w:id="44" w:name="Bookmark__b_4"/>
      <w:bookmarkEnd w:id="44"/>
      <w:r>
        <w:rPr>
          <w:rFonts w:ascii="times" w:eastAsia="times" w:hAnsi="times" w:cs="times"/>
          <w:b w:val="0"/>
          <w:i w:val="0"/>
          <w:strike w:val="0"/>
          <w:noProof w:val="0"/>
          <w:color w:val="000000"/>
          <w:position w:val="0"/>
          <w:sz w:val="24"/>
          <w:u w:val="none"/>
          <w:vertAlign w:val="baseline"/>
        </w:rPr>
        <w:t>Publication. Any designation of critical infrastructure sectors shall be published in the Federal Register.</w:t>
      </w:r>
    </w:p>
    <w:p>
      <w:pPr>
        <w:spacing w:before="120" w:line="240" w:lineRule="atLeast"/>
        <w:ind w:left="720"/>
      </w:pPr>
      <w:r>
        <w:rPr>
          <w:b/>
        </w:rPr>
        <w:t xml:space="preserve">(c) Sector risk management agencies.  </w:t>
      </w:r>
      <w:bookmarkStart w:id="45" w:name="Bookmark__c"/>
      <w:bookmarkEnd w:id="45"/>
    </w:p>
    <w:p>
      <w:pPr>
        <w:keepNext w:val="0"/>
        <w:spacing w:before="120" w:after="0" w:line="300" w:lineRule="atLeast"/>
        <w:ind w:left="1080" w:right="0"/>
        <w:jc w:val="left"/>
      </w:pPr>
      <w:r>
        <w:rPr>
          <w:b/>
        </w:rPr>
        <w:t xml:space="preserve">(1)  </w:t>
      </w:r>
      <w:bookmarkStart w:id="46" w:name="Bookmark__c_1"/>
      <w:bookmarkEnd w:id="46"/>
      <w:r>
        <w:rPr>
          <w:rFonts w:ascii="times" w:eastAsia="times" w:hAnsi="times" w:cs="times"/>
          <w:b w:val="0"/>
          <w:i w:val="0"/>
          <w:strike w:val="0"/>
          <w:noProof w:val="0"/>
          <w:color w:val="000000"/>
          <w:position w:val="0"/>
          <w:sz w:val="24"/>
          <w:u w:val="none"/>
          <w:vertAlign w:val="baseline"/>
        </w:rPr>
        <w:t>[Omitted]</w:t>
      </w:r>
    </w:p>
    <w:p>
      <w:pPr>
        <w:keepNext w:val="0"/>
        <w:spacing w:before="120" w:after="0" w:line="300" w:lineRule="atLeast"/>
        <w:ind w:left="1080" w:right="0"/>
        <w:jc w:val="left"/>
      </w:pPr>
      <w:r>
        <w:rPr>
          <w:b/>
        </w:rPr>
        <w:t xml:space="preserve">(2)  </w:t>
      </w:r>
      <w:bookmarkStart w:id="47" w:name="Bookmark__c_2"/>
      <w:bookmarkEnd w:id="47"/>
      <w:r>
        <w:rPr>
          <w:rFonts w:ascii="times" w:eastAsia="times" w:hAnsi="times" w:cs="times"/>
          <w:b w:val="0"/>
          <w:i w:val="0"/>
          <w:strike w:val="0"/>
          <w:noProof w:val="0"/>
          <w:color w:val="000000"/>
          <w:position w:val="0"/>
          <w:sz w:val="24"/>
          <w:u w:val="none"/>
          <w:vertAlign w:val="baseline"/>
        </w:rPr>
        <w:t>[Omitted]</w:t>
      </w:r>
    </w:p>
    <w:p>
      <w:pPr>
        <w:keepNext w:val="0"/>
        <w:spacing w:before="120" w:after="0" w:line="300" w:lineRule="atLeast"/>
        <w:ind w:left="1080" w:right="0"/>
        <w:jc w:val="left"/>
      </w:pPr>
      <w:r>
        <w:rPr>
          <w:b/>
        </w:rPr>
        <w:t xml:space="preserve">(3)  </w:t>
      </w:r>
      <w:bookmarkStart w:id="48" w:name="Bookmark__c_3"/>
      <w:bookmarkEnd w:id="48"/>
      <w:r>
        <w:rPr>
          <w:rFonts w:ascii="times" w:eastAsia="times" w:hAnsi="times" w:cs="times"/>
          <w:b w:val="0"/>
          <w:i w:val="0"/>
          <w:strike w:val="0"/>
          <w:noProof w:val="0"/>
          <w:color w:val="000000"/>
          <w:position w:val="0"/>
          <w:sz w:val="24"/>
          <w:u w:val="none"/>
          <w:vertAlign w:val="baseline"/>
        </w:rPr>
        <w:t>References. Any reference to a Sector Specific Agency (including any permutations or conjugations thereof) in any law, regulation, map, document, record, or other paper of the United States shall be deemed to—</w:t>
      </w:r>
    </w:p>
    <w:p>
      <w:pPr>
        <w:keepNext w:val="0"/>
        <w:spacing w:before="120" w:after="0" w:line="300" w:lineRule="atLeast"/>
        <w:ind w:left="1440" w:right="0"/>
        <w:jc w:val="left"/>
      </w:pPr>
      <w:r>
        <w:rPr>
          <w:b/>
        </w:rPr>
        <w:t xml:space="preserve">(A)  </w:t>
      </w:r>
      <w:bookmarkStart w:id="49" w:name="Bookmark__c_3_a"/>
      <w:bookmarkEnd w:id="49"/>
      <w:r>
        <w:rPr>
          <w:rFonts w:ascii="times" w:eastAsia="times" w:hAnsi="times" w:cs="times"/>
          <w:b w:val="0"/>
          <w:i w:val="0"/>
          <w:strike w:val="0"/>
          <w:noProof w:val="0"/>
          <w:color w:val="000000"/>
          <w:position w:val="0"/>
          <w:sz w:val="24"/>
          <w:u w:val="none"/>
          <w:vertAlign w:val="baseline"/>
        </w:rPr>
        <w:t>be a reference to the Sector Risk Management Agency of the relevant critical infrastructure sector; and</w:t>
      </w:r>
    </w:p>
    <w:p>
      <w:pPr>
        <w:keepNext w:val="0"/>
        <w:spacing w:before="120" w:after="0" w:line="300" w:lineRule="atLeast"/>
        <w:ind w:left="1440" w:right="0"/>
        <w:jc w:val="left"/>
      </w:pPr>
      <w:r>
        <w:rPr>
          <w:b/>
        </w:rPr>
        <w:t xml:space="preserve">(B)  </w:t>
      </w:r>
      <w:bookmarkStart w:id="50" w:name="Bookmark__c_3_b"/>
      <w:bookmarkEnd w:id="50"/>
      <w:r>
        <w:rPr>
          <w:rFonts w:ascii="times" w:eastAsia="times" w:hAnsi="times" w:cs="times"/>
          <w:b w:val="0"/>
          <w:i w:val="0"/>
          <w:strike w:val="0"/>
          <w:noProof w:val="0"/>
          <w:color w:val="000000"/>
          <w:position w:val="0"/>
          <w:sz w:val="24"/>
          <w:u w:val="none"/>
          <w:vertAlign w:val="baseline"/>
        </w:rPr>
        <w:t>have the meaning given such term in section 2200 of the Homeland Security Act of 2002 [6 USCS § 650].</w:t>
      </w:r>
    </w:p>
    <w:p>
      <w:pPr>
        <w:keepNext w:val="0"/>
        <w:spacing w:before="120" w:after="0" w:line="300" w:lineRule="atLeast"/>
        <w:ind w:left="1080" w:right="0"/>
        <w:jc w:val="left"/>
      </w:pPr>
      <w:r>
        <w:rPr>
          <w:b/>
        </w:rPr>
        <w:t xml:space="preserve">(4)  </w:t>
      </w:r>
      <w:bookmarkStart w:id="51" w:name="Bookmark__c_4"/>
      <w:bookmarkEnd w:id="51"/>
      <w:r>
        <w:rPr>
          <w:rFonts w:ascii="times" w:eastAsia="times" w:hAnsi="times" w:cs="times"/>
          <w:b w:val="0"/>
          <w:i w:val="0"/>
          <w:strike w:val="0"/>
          <w:noProof w:val="0"/>
          <w:color w:val="000000"/>
          <w:position w:val="0"/>
          <w:sz w:val="24"/>
          <w:u w:val="none"/>
          <w:vertAlign w:val="baseline"/>
        </w:rPr>
        <w:t>[Omitted]</w:t>
      </w:r>
    </w:p>
    <w:p>
      <w:pPr>
        <w:keepNext w:val="0"/>
        <w:spacing w:before="120" w:after="0" w:line="300" w:lineRule="atLeast"/>
        <w:ind w:left="720" w:right="0"/>
        <w:jc w:val="left"/>
      </w:pPr>
      <w:r>
        <w:rPr>
          <w:b/>
        </w:rPr>
        <w:t xml:space="preserve">(d) Report and auditing.  </w:t>
      </w:r>
      <w:bookmarkStart w:id="52" w:name="Bookmark__d"/>
      <w:bookmarkEnd w:id="52"/>
      <w:r>
        <w:rPr>
          <w:rFonts w:ascii="times" w:eastAsia="times" w:hAnsi="times" w:cs="times"/>
          <w:b w:val="0"/>
          <w:i w:val="0"/>
          <w:strike w:val="0"/>
          <w:noProof w:val="0"/>
          <w:color w:val="000000"/>
          <w:position w:val="0"/>
          <w:sz w:val="24"/>
          <w:u w:val="none"/>
          <w:vertAlign w:val="baseline"/>
        </w:rPr>
        <w:t>Not later than two years after the date of the enactment of this Act [enacted Jan. 1, 2021] and every four years thereafter for 12 years, the Comptroller General of the United States shall submit to the Committee on Homeland Security of the House of Representatives and the Committee on Homeland Security and Governmental Affairs of the Senate a report on the effectiveness of Sector Risk Management Agencies in carrying out their responsibilities under section 2218 of the Homeland Security Act of 2002 (6 U.S.C. 665d).</w:t>
      </w:r>
    </w:p>
    <w:p>
      <w:pPr>
        <w:keepNext/>
        <w:spacing w:before="240" w:after="0" w:line="340" w:lineRule="atLeast"/>
        <w:ind w:left="0" w:right="0" w:firstLine="0"/>
        <w:jc w:val="left"/>
      </w:pPr>
      <w:bookmarkStart w:id="53" w:name="History"/>
      <w:bookmarkEnd w:id="5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Jan. 1, 2021, P.L. 116-283, Div H, Title XC, § 9002(a), (b), 134 Stat. 4768; Dec. 23, 2022, P.L. 117-263, Div G, Title LXXI, Subtitle E, § 7143(d)(5), 136 Stat. 3663.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United States Code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652a. Sector risk management agencies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652a. Sector risk management agencies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225594619</vt:lpwstr>
  </property>
  <property fmtid="{D5CDD505-2E9C-101B-9397-08002B2CF9AE}" pid="3" name="LADocCount">
    <vt:lpwstr>1</vt:lpwstr>
  </property>
  <property fmtid="{D5CDD505-2E9C-101B-9397-08002B2CF9AE}" pid="4" name="LADocumentID:urn:contentItem:6783-WPT3-CGX8-010R-00000-00">
    <vt:lpwstr>Doc::/shared/document|contextualFeaturePermID::1519360</vt:lpwstr>
  </property>
  <property fmtid="{D5CDD505-2E9C-101B-9397-08002B2CF9AE}" pid="5" name="UserPermID">
    <vt:lpwstr>urn:user:PA186163333</vt:lpwstr>
  </property>
</Properties>
</file>