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665c. Cybersecurity State Coordinator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Appointment.   </w:t>
      </w:r>
      <w:bookmarkStart w:id="1" w:name="Bookmark__a"/>
      <w:bookmarkEnd w:id="1"/>
      <w:r>
        <w:rPr>
          <w:rFonts w:ascii="times" w:eastAsia="times" w:hAnsi="times" w:cs="times"/>
          <w:b w:val="0"/>
          <w:i w:val="0"/>
          <w:strike w:val="0"/>
          <w:noProof w:val="0"/>
          <w:color w:val="000000"/>
          <w:position w:val="0"/>
          <w:sz w:val="24"/>
          <w:u w:val="none"/>
          <w:vertAlign w:val="baseline"/>
        </w:rPr>
        <w:t>The Director shall appoint an employee of the Agency in each State, with the appropriate cybersecurity qualifications and expertise, who shall serve as the Cybersecurity State Coordinator.</w:t>
      </w:r>
    </w:p>
    <w:p>
      <w:pPr>
        <w:keepNext w:val="0"/>
        <w:spacing w:before="120" w:after="0" w:line="300" w:lineRule="atLeast"/>
        <w:ind w:left="720" w:right="0"/>
        <w:jc w:val="left"/>
      </w:pPr>
      <w:r>
        <w:rPr>
          <w:b/>
        </w:rPr>
        <w:t xml:space="preserve">(b) Duties.   </w:t>
      </w:r>
      <w:bookmarkStart w:id="2" w:name="Bookmark__b"/>
      <w:bookmarkEnd w:id="2"/>
      <w:r>
        <w:rPr>
          <w:rFonts w:ascii="times" w:eastAsia="times" w:hAnsi="times" w:cs="times"/>
          <w:b w:val="0"/>
          <w:i w:val="0"/>
          <w:strike w:val="0"/>
          <w:noProof w:val="0"/>
          <w:color w:val="000000"/>
          <w:position w:val="0"/>
          <w:sz w:val="24"/>
          <w:u w:val="none"/>
          <w:vertAlign w:val="baseline"/>
        </w:rPr>
        <w:t>The duties of a Cybersecurity State Coordinator appointed under subsection (a) shall include—</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building strategic public and, on a voluntary basis, private sector relationships, including by advising on establishing governance structures to facilitate the development and maintenance of secure and resilient infrastructure;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serving as the Federal cybersecurity risk advisor and supporting preparation, response, and remediation efforts relating to cybersecurity risks and incidents;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facilitating the sharing of cyber threat information to improve understanding of cybersecurity risks and situational awareness of cybersecurity incidents;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raising awareness of the financial, technical, and operational resources available from the Federal Government to non-Federal entities to increase resilience against cyber threats;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supporting training, exercises, and planning for continuity of operations to expedite recovery from cybersecurity incidents, including ransomware;</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serving as a principal point of contact for non-Federal entities to engage, on a voluntary basis, with the Federal Government on preparing, managing, and responding to cybersecurity incidents;</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assisting non-Federal entities in developing and coordinating vulnerability disclosure programs consistent with Federal and information security industry standards;</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assisting State, local, Tribal, and territorial governments, on a voluntary basis, in the development of State cybersecurity plans;</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coordinating with appropriate officials within the Agency; and</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performing such other duties as determined necessary by the Director to achieve the goal of managing cybersecurity  risks in the United States and reducing the impact of cyber threats to non-Federal entities.</w:t>
      </w:r>
    </w:p>
    <w:p>
      <w:pPr>
        <w:keepNext w:val="0"/>
        <w:spacing w:before="120" w:after="0" w:line="300" w:lineRule="atLeast"/>
        <w:ind w:left="720" w:right="0"/>
        <w:jc w:val="left"/>
      </w:pPr>
      <w:r>
        <w:rPr>
          <w:b/>
        </w:rPr>
        <w:t xml:space="preserve">(c) Feedback.   </w:t>
      </w:r>
      <w:bookmarkStart w:id="13" w:name="Bookmark__c"/>
      <w:bookmarkEnd w:id="13"/>
      <w:r>
        <w:rPr>
          <w:rFonts w:ascii="times" w:eastAsia="times" w:hAnsi="times" w:cs="times"/>
          <w:b w:val="0"/>
          <w:i w:val="0"/>
          <w:strike w:val="0"/>
          <w:noProof w:val="0"/>
          <w:color w:val="000000"/>
          <w:position w:val="0"/>
          <w:sz w:val="24"/>
          <w:u w:val="none"/>
          <w:vertAlign w:val="baseline"/>
        </w:rPr>
        <w:t>The Director shall consult with relevant State, local, Tribal, and territorial officials regarding the appointment, and State, local, Tribal, and territorial officials and other non-Federal entities regarding the performance, of the Cybersecurity State Coordinator of a State.</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2217 [2215], as added Jan. 1, 2021, P.L. 116-283, Div A, Title XVII, § 1717(a), 134 Stat. 4097; Dec. 27, 2021, P.L. 117-81, Div A, Title XV, Subtitle C, § 1547(b)(1)(A)(iv), 135 Stat. 2061.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665c. Cybersecurity State Coordinator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665c. Cybersecurity State Coordinator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HG-WMS3-GXJ9-30FD-00000-00">
    <vt:lpwstr>Doc::/shared/document|contextualFeaturePermID::1519360</vt:lpwstr>
  </property>
  <property fmtid="{D5CDD505-2E9C-101B-9397-08002B2CF9AE}" pid="5" name="UserPermID">
    <vt:lpwstr>urn:user:PA186163333</vt:lpwstr>
  </property>
</Properties>
</file>