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671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3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CRITICAL INFRASTRUCTURE INFORMATION (§§ 671 — 674)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671.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this subtitle [6 USCS §§ 671 et seq.]:</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Agency. The term “agency” has the meaning given it in section 551 of title 5, United States Code.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Covered Federal agency. The term “covered Federal agency” means the Department of Homeland Security.</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Critical infrastructure information. The term “critical infrastructure information” has the meaning given the term in section 2200 [6 USCS § 650].</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Critical infrastructure protection program. The term “critical infrastructure protection program” means any component or bureau of a covered Federal agency that has been designated by the President or any agency head to receive critical infrastructure information.</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Protected system. The term “protected system”—</w:t>
      </w:r>
    </w:p>
    <w:p>
      <w:pPr>
        <w:keepNext w:val="0"/>
        <w:spacing w:before="120" w:after="0" w:line="300" w:lineRule="atLeast"/>
        <w:ind w:left="1440" w:right="0"/>
        <w:jc w:val="left"/>
      </w:pPr>
      <w:r>
        <w:rPr>
          <w:b/>
        </w:rPr>
        <w:t xml:space="preserve">(A)  </w:t>
      </w:r>
      <w:bookmarkStart w:id="6" w:name="Bookmark__5_a"/>
      <w:bookmarkEnd w:id="6"/>
      <w:r>
        <w:rPr>
          <w:rFonts w:ascii="times" w:eastAsia="times" w:hAnsi="times" w:cs="times"/>
          <w:b w:val="0"/>
          <w:i w:val="0"/>
          <w:strike w:val="0"/>
          <w:noProof w:val="0"/>
          <w:color w:val="000000"/>
          <w:position w:val="0"/>
          <w:sz w:val="24"/>
          <w:u w:val="none"/>
          <w:vertAlign w:val="baseline"/>
        </w:rPr>
        <w:t>means any service, physical or computer-based system, process, or procedure that directly or indirectly affects the viability of a facility of critical infrastructure; and</w:t>
      </w:r>
    </w:p>
    <w:p>
      <w:pPr>
        <w:keepNext w:val="0"/>
        <w:spacing w:before="120" w:after="0" w:line="300" w:lineRule="atLeast"/>
        <w:ind w:left="1440" w:right="0"/>
        <w:jc w:val="left"/>
      </w:pPr>
      <w:r>
        <w:rPr>
          <w:b/>
        </w:rPr>
        <w:t xml:space="preserve">(B)  </w:t>
      </w:r>
      <w:bookmarkStart w:id="7" w:name="Bookmark__5_b"/>
      <w:bookmarkEnd w:id="7"/>
      <w:r>
        <w:rPr>
          <w:rFonts w:ascii="times" w:eastAsia="times" w:hAnsi="times" w:cs="times"/>
          <w:b w:val="0"/>
          <w:i w:val="0"/>
          <w:strike w:val="0"/>
          <w:noProof w:val="0"/>
          <w:color w:val="000000"/>
          <w:position w:val="0"/>
          <w:sz w:val="24"/>
          <w:u w:val="none"/>
          <w:vertAlign w:val="baseline"/>
        </w:rPr>
        <w:t>includes any physical or computer-based system, including a computer, computer system, computer or communications network, or any component hardware or element thereof, software program, processing instructions, or information or data in transmission or storage therein, irrespective of the medium of transmission or storage.</w:t>
      </w:r>
    </w:p>
    <w:p>
      <w:pPr>
        <w:keepNext w:val="0"/>
        <w:spacing w:before="120" w:after="0" w:line="300" w:lineRule="atLeast"/>
        <w:ind w:left="1080" w:right="0"/>
        <w:jc w:val="left"/>
      </w:pPr>
      <w:r>
        <w:rPr>
          <w:b/>
        </w:rPr>
        <w:t xml:space="preserve">(6)  </w:t>
      </w:r>
      <w:bookmarkStart w:id="8" w:name="Bookmark__6"/>
      <w:bookmarkEnd w:id="8"/>
      <w:r>
        <w:rPr>
          <w:rFonts w:ascii="times" w:eastAsia="times" w:hAnsi="times" w:cs="times"/>
          <w:b w:val="0"/>
          <w:i w:val="0"/>
          <w:strike w:val="0"/>
          <w:noProof w:val="0"/>
          <w:color w:val="000000"/>
          <w:position w:val="0"/>
          <w:sz w:val="24"/>
          <w:u w:val="none"/>
          <w:vertAlign w:val="baseline"/>
        </w:rPr>
        <w:t>Voluntary.</w:t>
      </w:r>
    </w:p>
    <w:p>
      <w:pPr>
        <w:keepNext w:val="0"/>
        <w:spacing w:before="120" w:after="0" w:line="300" w:lineRule="atLeast"/>
        <w:ind w:left="1440" w:right="0"/>
        <w:jc w:val="left"/>
      </w:pPr>
      <w:r>
        <w:rPr>
          <w:b/>
        </w:rPr>
        <w:t xml:space="preserve">(A)  </w:t>
      </w:r>
      <w:bookmarkStart w:id="9" w:name="Bookmark__6_a"/>
      <w:bookmarkEnd w:id="9"/>
      <w:r>
        <w:rPr>
          <w:rFonts w:ascii="times" w:eastAsia="times" w:hAnsi="times" w:cs="times"/>
          <w:b w:val="0"/>
          <w:i w:val="0"/>
          <w:strike w:val="0"/>
          <w:noProof w:val="0"/>
          <w:color w:val="000000"/>
          <w:position w:val="0"/>
          <w:sz w:val="24"/>
          <w:u w:val="none"/>
          <w:vertAlign w:val="baseline"/>
        </w:rPr>
        <w:t>In general. The term “voluntary”, in the case of any submittal of critical infrastructure information to a covered Federal agency, means the submittal thereof in the absence of such agency’s exercise of legal authority to compel access to or submission of such information and may be accomplished by a single entity or an Information Sharing and Analysis Organization on behalf of itself or its members.</w:t>
      </w:r>
    </w:p>
    <w:p>
      <w:pPr>
        <w:keepNext w:val="0"/>
        <w:spacing w:before="120" w:after="0" w:line="300" w:lineRule="atLeast"/>
        <w:ind w:left="1440" w:right="0"/>
        <w:jc w:val="left"/>
      </w:pPr>
      <w:r>
        <w:rPr>
          <w:b/>
        </w:rPr>
        <w:t xml:space="preserve">(B)  </w:t>
      </w:r>
      <w:bookmarkStart w:id="10" w:name="Bookmark__6_b"/>
      <w:bookmarkEnd w:id="10"/>
      <w:r>
        <w:rPr>
          <w:rFonts w:ascii="times" w:eastAsia="times" w:hAnsi="times" w:cs="times"/>
          <w:b w:val="0"/>
          <w:i w:val="0"/>
          <w:strike w:val="0"/>
          <w:noProof w:val="0"/>
          <w:color w:val="000000"/>
          <w:position w:val="0"/>
          <w:sz w:val="24"/>
          <w:u w:val="none"/>
          <w:vertAlign w:val="baseline"/>
        </w:rPr>
        <w:t>Exclusions. The term “voluntary”—</w:t>
      </w:r>
    </w:p>
    <w:p>
      <w:pPr>
        <w:keepNext w:val="0"/>
        <w:spacing w:before="120" w:after="0" w:line="300" w:lineRule="atLeast"/>
        <w:ind w:left="1800" w:right="0"/>
        <w:jc w:val="left"/>
      </w:pPr>
      <w:r>
        <w:rPr>
          <w:b/>
        </w:rPr>
        <w:t xml:space="preserve">(i)  </w:t>
      </w:r>
      <w:bookmarkStart w:id="11" w:name="Bookmark__6_b_i"/>
      <w:bookmarkEnd w:id="11"/>
      <w:r>
        <w:rPr>
          <w:rFonts w:ascii="times" w:eastAsia="times" w:hAnsi="times" w:cs="times"/>
          <w:b w:val="0"/>
          <w:i w:val="0"/>
          <w:strike w:val="0"/>
          <w:noProof w:val="0"/>
          <w:color w:val="000000"/>
          <w:position w:val="0"/>
          <w:sz w:val="24"/>
          <w:u w:val="none"/>
          <w:vertAlign w:val="baseline"/>
        </w:rPr>
        <w:t>in the case of any action brought under the securities laws as is defined in section 3(a)(47) of the Securities Exchange Act of 1934 (15 U.S.C. 78c(a)(47))—</w:t>
      </w:r>
    </w:p>
    <w:p>
      <w:pPr>
        <w:keepNext w:val="0"/>
        <w:spacing w:before="120" w:after="0" w:line="300" w:lineRule="atLeast"/>
        <w:ind w:left="2160" w:right="0"/>
        <w:jc w:val="left"/>
      </w:pPr>
      <w:r>
        <w:rPr>
          <w:b/>
        </w:rPr>
        <w:t xml:space="preserve">(I)  </w:t>
      </w:r>
      <w:bookmarkStart w:id="12" w:name="Bookmark__6_b_i_i"/>
      <w:bookmarkEnd w:id="12"/>
      <w:r>
        <w:rPr>
          <w:rFonts w:ascii="times" w:eastAsia="times" w:hAnsi="times" w:cs="times"/>
          <w:b w:val="0"/>
          <w:i w:val="0"/>
          <w:strike w:val="0"/>
          <w:noProof w:val="0"/>
          <w:color w:val="000000"/>
          <w:position w:val="0"/>
          <w:sz w:val="24"/>
          <w:u w:val="none"/>
          <w:vertAlign w:val="baseline"/>
        </w:rPr>
        <w:t>does not include information or statements contained in any documents or materials filed with the Securities and Exchange Commission, or with Federal banking regulators, pursuant to section 12(i) of the Securities Exchange Act of 1934 (15 U.S.C. 781(I) [78l(i)]); and</w:t>
      </w:r>
    </w:p>
    <w:p>
      <w:pPr>
        <w:keepNext w:val="0"/>
        <w:spacing w:before="120" w:after="0" w:line="300" w:lineRule="atLeast"/>
        <w:ind w:left="2160" w:right="0"/>
        <w:jc w:val="left"/>
      </w:pPr>
      <w:r>
        <w:rPr>
          <w:b/>
        </w:rPr>
        <w:t xml:space="preserve">(II)  </w:t>
      </w:r>
      <w:bookmarkStart w:id="13" w:name="Bookmark__6_b_i_ii"/>
      <w:bookmarkEnd w:id="13"/>
      <w:r>
        <w:rPr>
          <w:rFonts w:ascii="times" w:eastAsia="times" w:hAnsi="times" w:cs="times"/>
          <w:b w:val="0"/>
          <w:i w:val="0"/>
          <w:strike w:val="0"/>
          <w:noProof w:val="0"/>
          <w:color w:val="000000"/>
          <w:position w:val="0"/>
          <w:sz w:val="24"/>
          <w:u w:val="none"/>
          <w:vertAlign w:val="baseline"/>
        </w:rPr>
        <w:t>with respect to the submittal of critical infrastructure information, does not include any disclosure or writing that when made accompanied the solicitation of an offer or a sale of securities; and</w:t>
      </w:r>
    </w:p>
    <w:p>
      <w:pPr>
        <w:keepNext w:val="0"/>
        <w:spacing w:before="120" w:after="0" w:line="300" w:lineRule="atLeast"/>
        <w:ind w:left="1800" w:right="0"/>
        <w:jc w:val="left"/>
      </w:pPr>
      <w:r>
        <w:rPr>
          <w:b/>
        </w:rPr>
        <w:t xml:space="preserve">(ii)  </w:t>
      </w:r>
      <w:bookmarkStart w:id="14" w:name="Bookmark__6_b_ii"/>
      <w:bookmarkEnd w:id="14"/>
      <w:r>
        <w:rPr>
          <w:rFonts w:ascii="times" w:eastAsia="times" w:hAnsi="times" w:cs="times"/>
          <w:b w:val="0"/>
          <w:i w:val="0"/>
          <w:strike w:val="0"/>
          <w:noProof w:val="0"/>
          <w:color w:val="000000"/>
          <w:position w:val="0"/>
          <w:sz w:val="24"/>
          <w:u w:val="none"/>
          <w:vertAlign w:val="baseline"/>
        </w:rPr>
        <w:t>does not include information or statements submitted or relied upon as a basis for making licensing or permitting determinations, or during regulatory proceedings.</w:t>
      </w:r>
    </w:p>
    <w:p>
      <w:pPr>
        <w:keepNext w:val="0"/>
        <w:spacing w:before="120" w:after="0" w:line="300" w:lineRule="atLeast"/>
        <w:ind w:left="1080" w:right="0"/>
        <w:jc w:val="left"/>
      </w:pPr>
      <w:r>
        <w:rPr>
          <w:b/>
        </w:rPr>
        <w:t xml:space="preserve">(7)  </w:t>
      </w:r>
      <w:bookmarkStart w:id="15" w:name="Bookmark__7"/>
      <w:bookmarkEnd w:id="15"/>
      <w:r>
        <w:rPr>
          <w:rFonts w:ascii="times" w:eastAsia="times" w:hAnsi="times" w:cs="times"/>
          <w:b w:val="0"/>
          <w:i w:val="0"/>
          <w:strike w:val="0"/>
          <w:noProof w:val="0"/>
          <w:color w:val="000000"/>
          <w:position w:val="0"/>
          <w:sz w:val="24"/>
          <w:u w:val="none"/>
          <w:vertAlign w:val="baseline"/>
        </w:rPr>
        <w:t>[Redesignated]</w:t>
      </w:r>
    </w:p>
    <w:p>
      <w:pPr>
        <w:keepNext w:val="0"/>
        <w:spacing w:before="120" w:after="0" w:line="300" w:lineRule="atLeast"/>
        <w:ind w:left="1080" w:right="0"/>
        <w:jc w:val="left"/>
      </w:pPr>
      <w:r>
        <w:rPr>
          <w:b/>
        </w:rPr>
        <w:t xml:space="preserve">(8)  </w:t>
      </w:r>
      <w:bookmarkStart w:id="16" w:name="Bookmark__8"/>
      <w:bookmarkEnd w:id="16"/>
      <w:r>
        <w:rPr>
          <w:rFonts w:ascii="times" w:eastAsia="times" w:hAnsi="times" w:cs="times"/>
          <w:b w:val="0"/>
          <w:i w:val="0"/>
          <w:strike w:val="0"/>
          <w:noProof w:val="0"/>
          <w:color w:val="000000"/>
          <w:position w:val="0"/>
          <w:sz w:val="24"/>
          <w:u w:val="none"/>
          <w:vertAlign w:val="baseline"/>
        </w:rPr>
        <w:t>[Deleted]</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[II], Subtitle B, § 2222 [212], 116 Stat. 2150; Dec. 18, 2015, P. L. 114-113, Div N, Title II, Subtitle A, § 204, 129 Stat. 2961; Nov. 16, 2018, P.L. 115-278, § 2(g)(2)(H), (9)(B)(i), 132 Stat. 4178, 4181; Dec. 23, 2022, P.L. 117-263, Div G, Title LXXI, Subtitle E, § 7143(b)(2)(M), 136 Stat. 3661.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671.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671.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G553-CGX8-011F-00000-00">
    <vt:lpwstr>Doc::/shared/document|contextualFeaturePermID::1519360</vt:lpwstr>
  </property>
  <property fmtid="{D5CDD505-2E9C-101B-9397-08002B2CF9AE}" pid="5" name="UserPermID">
    <vt:lpwstr>urn:user:PA186163333</vt:lpwstr>
  </property>
</Properties>
</file>