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204E4" w14:textId="77777777" w:rsidR="005C7287" w:rsidRDefault="005C7287">
      <w:pPr>
        <w:sectPr w:rsidR="005C7287">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7062918A" w14:textId="77777777" w:rsidR="005C7287" w:rsidRDefault="005C7287"/>
    <w:p w14:paraId="10765EDC" w14:textId="77777777" w:rsidR="005C7287" w:rsidRDefault="00DE5A4A">
      <w:pPr>
        <w:pStyle w:val="Heading1"/>
        <w:keepNext w:val="0"/>
        <w:spacing w:after="200" w:line="340" w:lineRule="atLeast"/>
        <w:jc w:val="center"/>
      </w:pPr>
      <w:r>
        <w:rPr>
          <w:rFonts w:ascii="Times" w:hAnsi="Times" w:cs="Times"/>
          <w:color w:val="000000"/>
          <w:sz w:val="28"/>
        </w:rPr>
        <w:t>6 USCS § 677c</w:t>
      </w:r>
    </w:p>
    <w:p w14:paraId="2821DDFD" w14:textId="77777777" w:rsidR="005C7287" w:rsidRDefault="00DE5A4A">
      <w:pPr>
        <w:spacing w:before="120" w:line="300" w:lineRule="atLeast"/>
        <w:jc w:val="center"/>
      </w:pPr>
      <w:r>
        <w:rPr>
          <w:color w:val="000000"/>
        </w:rPr>
        <w:t xml:space="preserve">Current through Public </w:t>
      </w:r>
      <w:r>
        <w:rPr>
          <w:color w:val="000000"/>
        </w:rPr>
        <w:t>Law 118-62, approved May 13, 2024.</w:t>
      </w:r>
    </w:p>
    <w:p w14:paraId="364DF200" w14:textId="77777777" w:rsidR="005C7287" w:rsidRDefault="005C7287">
      <w:pPr>
        <w:spacing w:line="240" w:lineRule="atLeast"/>
        <w:jc w:val="both"/>
      </w:pPr>
      <w:bookmarkStart w:id="1" w:name="Bookmark_39"/>
      <w:bookmarkEnd w:id="1"/>
    </w:p>
    <w:p w14:paraId="6749C197" w14:textId="77777777" w:rsidR="005C7287" w:rsidRDefault="00DE5A4A">
      <w:pPr>
        <w:spacing w:before="200" w:line="280" w:lineRule="atLeast"/>
      </w:pPr>
      <w:r>
        <w:rPr>
          <w:b/>
          <w:i/>
          <w:color w:val="000000"/>
          <w:sz w:val="22"/>
        </w:rPr>
        <w:t>United States Code Service</w:t>
      </w:r>
      <w:r>
        <w:rPr>
          <w:b/>
          <w:color w:val="000000"/>
          <w:sz w:val="22"/>
        </w:rPr>
        <w:t xml:space="preserve">  &gt;  </w:t>
      </w:r>
      <w:r>
        <w:rPr>
          <w:b/>
          <w:i/>
          <w:color w:val="000000"/>
          <w:sz w:val="22"/>
        </w:rPr>
        <w:t>TITLE 6. DOMESTIC SECURITY (§§ 101 — 1534)</w:t>
      </w:r>
      <w:r>
        <w:rPr>
          <w:b/>
          <w:color w:val="000000"/>
          <w:sz w:val="22"/>
        </w:rPr>
        <w:t xml:space="preserve">  &gt;  </w:t>
      </w:r>
      <w:r>
        <w:rPr>
          <w:b/>
          <w:i/>
          <w:color w:val="000000"/>
          <w:sz w:val="22"/>
        </w:rPr>
        <w:t>CHAPTER 1. HOMELAND SECURITY ORGANIZATION (§§ 101 — 681g)</w:t>
      </w:r>
      <w:r>
        <w:rPr>
          <w:b/>
          <w:color w:val="000000"/>
          <w:sz w:val="22"/>
        </w:rPr>
        <w:t xml:space="preserve">  &gt;  </w:t>
      </w:r>
      <w:r>
        <w:rPr>
          <w:b/>
          <w:i/>
          <w:color w:val="000000"/>
          <w:sz w:val="22"/>
        </w:rPr>
        <w:t>CYBERSECURITY AND INFRASTRUCTURE SECURITY AGENCY (§§ 650 — 681g)</w:t>
      </w:r>
      <w:r>
        <w:rPr>
          <w:b/>
          <w:color w:val="000000"/>
          <w:sz w:val="22"/>
        </w:rPr>
        <w:t xml:space="preserve">  &gt;  </w:t>
      </w:r>
      <w:r>
        <w:rPr>
          <w:b/>
          <w:i/>
          <w:color w:val="000000"/>
          <w:sz w:val="22"/>
        </w:rPr>
        <w:t>DECLARATION</w:t>
      </w:r>
      <w:r>
        <w:rPr>
          <w:b/>
          <w:i/>
          <w:color w:val="000000"/>
          <w:sz w:val="22"/>
        </w:rPr>
        <w:t xml:space="preserve"> OF A SIGNIFICANT INCIDENT (§§ 677 — 677g)</w:t>
      </w:r>
    </w:p>
    <w:p w14:paraId="1394A4A9" w14:textId="77777777" w:rsidR="005C7287" w:rsidRDefault="00DE5A4A">
      <w:pPr>
        <w:keepNext/>
        <w:spacing w:before="240" w:line="340" w:lineRule="atLeast"/>
      </w:pPr>
      <w:r>
        <w:br/>
      </w:r>
      <w:r>
        <w:rPr>
          <w:b/>
          <w:color w:val="000000"/>
          <w:sz w:val="28"/>
        </w:rPr>
        <w:t>§ 677c. Cyber Response and Recovery Fund [Effective until November 15, 2028]</w:t>
      </w:r>
    </w:p>
    <w:p w14:paraId="487DA2F6" w14:textId="32681DE1" w:rsidR="005C7287" w:rsidRDefault="00DE5A4A">
      <w:pPr>
        <w:spacing w:line="60" w:lineRule="exact"/>
      </w:pPr>
      <w:r>
        <w:rPr>
          <w:noProof/>
        </w:rPr>
        <mc:AlternateContent>
          <mc:Choice Requires="wps">
            <w:drawing>
              <wp:anchor distT="0" distB="0" distL="114300" distR="114300" simplePos="0" relativeHeight="251658240" behindDoc="0" locked="0" layoutInCell="1" allowOverlap="1" wp14:anchorId="41F1C033" wp14:editId="7AE4B106">
                <wp:simplePos x="0" y="0"/>
                <wp:positionH relativeFrom="column">
                  <wp:posOffset>0</wp:posOffset>
                </wp:positionH>
                <wp:positionV relativeFrom="paragraph">
                  <wp:posOffset>25400</wp:posOffset>
                </wp:positionV>
                <wp:extent cx="6502400" cy="0"/>
                <wp:effectExtent l="15875" t="20955" r="15875" b="1714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8DEBA"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16E1A0B8" w14:textId="77777777" w:rsidR="005C7287" w:rsidRDefault="005C7287"/>
    <w:p w14:paraId="68DF7527" w14:textId="77777777" w:rsidR="005C7287" w:rsidRDefault="00DE5A4A">
      <w:pPr>
        <w:spacing w:before="120" w:line="300" w:lineRule="atLeast"/>
        <w:ind w:left="720"/>
      </w:pPr>
      <w:r>
        <w:rPr>
          <w:b/>
        </w:rPr>
        <w:t xml:space="preserve">(a) In general.   </w:t>
      </w:r>
      <w:bookmarkStart w:id="2" w:name="Bookmark__a"/>
      <w:bookmarkEnd w:id="2"/>
      <w:r>
        <w:rPr>
          <w:color w:val="000000"/>
        </w:rPr>
        <w:t>There is established a Cyber Response and Recovery Fund, which shall be available for—</w:t>
      </w:r>
    </w:p>
    <w:p w14:paraId="5F9E4FDA" w14:textId="77777777" w:rsidR="005C7287" w:rsidRDefault="00DE5A4A">
      <w:pPr>
        <w:spacing w:before="120" w:line="300" w:lineRule="atLeast"/>
        <w:ind w:left="1080"/>
      </w:pPr>
      <w:r>
        <w:rPr>
          <w:b/>
        </w:rPr>
        <w:t xml:space="preserve">(1)  </w:t>
      </w:r>
      <w:bookmarkStart w:id="3" w:name="Bookmark__a_1"/>
      <w:bookmarkEnd w:id="3"/>
      <w:r>
        <w:rPr>
          <w:color w:val="000000"/>
        </w:rPr>
        <w:t xml:space="preserve">the coordination of </w:t>
      </w:r>
      <w:r>
        <w:rPr>
          <w:color w:val="000000"/>
        </w:rPr>
        <w:t>activities described in section 2233(b) [6 USCS § 677b(b)];</w:t>
      </w:r>
    </w:p>
    <w:p w14:paraId="576A539B" w14:textId="77777777" w:rsidR="005C7287" w:rsidRDefault="00DE5A4A">
      <w:pPr>
        <w:spacing w:before="120" w:line="300" w:lineRule="atLeast"/>
        <w:ind w:left="1080"/>
      </w:pPr>
      <w:r>
        <w:rPr>
          <w:b/>
        </w:rPr>
        <w:t xml:space="preserve">(2)  </w:t>
      </w:r>
      <w:bookmarkStart w:id="4" w:name="Bookmark__a_2"/>
      <w:bookmarkEnd w:id="4"/>
      <w:r>
        <w:rPr>
          <w:color w:val="000000"/>
        </w:rPr>
        <w:t>response and recovery support for the specific significant incident associated with a declaration to Federal, State, local, and Tribal, entities and public and private entities on a reimbursa</w:t>
      </w:r>
      <w:r>
        <w:rPr>
          <w:color w:val="000000"/>
        </w:rPr>
        <w:t>ble or non-reimbursable basis, including through asset response activities and technical assistance, such as—</w:t>
      </w:r>
    </w:p>
    <w:p w14:paraId="2516535A" w14:textId="77777777" w:rsidR="005C7287" w:rsidRDefault="00DE5A4A">
      <w:pPr>
        <w:spacing w:before="120" w:line="300" w:lineRule="atLeast"/>
        <w:ind w:left="1440"/>
      </w:pPr>
      <w:r>
        <w:rPr>
          <w:b/>
        </w:rPr>
        <w:t xml:space="preserve">(A)  </w:t>
      </w:r>
      <w:bookmarkStart w:id="5" w:name="Bookmark__a_2_a"/>
      <w:bookmarkEnd w:id="5"/>
      <w:r>
        <w:rPr>
          <w:color w:val="000000"/>
        </w:rPr>
        <w:t>vulnerability assessments and mitigation;</w:t>
      </w:r>
    </w:p>
    <w:p w14:paraId="648868B4" w14:textId="77777777" w:rsidR="005C7287" w:rsidRDefault="00DE5A4A">
      <w:pPr>
        <w:spacing w:before="120" w:line="300" w:lineRule="atLeast"/>
        <w:ind w:left="1440"/>
      </w:pPr>
      <w:r>
        <w:rPr>
          <w:b/>
        </w:rPr>
        <w:t xml:space="preserve">(B)  </w:t>
      </w:r>
      <w:bookmarkStart w:id="6" w:name="Bookmark__a_2_b"/>
      <w:bookmarkEnd w:id="6"/>
      <w:r>
        <w:rPr>
          <w:color w:val="000000"/>
        </w:rPr>
        <w:t>technical incident mitigation;</w:t>
      </w:r>
    </w:p>
    <w:p w14:paraId="6025A664" w14:textId="77777777" w:rsidR="005C7287" w:rsidRDefault="00DE5A4A">
      <w:pPr>
        <w:spacing w:before="120" w:line="300" w:lineRule="atLeast"/>
        <w:ind w:left="1440"/>
      </w:pPr>
      <w:r>
        <w:rPr>
          <w:b/>
        </w:rPr>
        <w:t xml:space="preserve">(C)  </w:t>
      </w:r>
      <w:bookmarkStart w:id="7" w:name="Bookmark__a_2_c"/>
      <w:bookmarkEnd w:id="7"/>
      <w:r>
        <w:rPr>
          <w:color w:val="000000"/>
        </w:rPr>
        <w:t>malware analysis;</w:t>
      </w:r>
    </w:p>
    <w:p w14:paraId="1F6D44D7" w14:textId="77777777" w:rsidR="005C7287" w:rsidRDefault="00DE5A4A">
      <w:pPr>
        <w:spacing w:before="120" w:line="300" w:lineRule="atLeast"/>
        <w:ind w:left="1440"/>
      </w:pPr>
      <w:r>
        <w:rPr>
          <w:b/>
        </w:rPr>
        <w:t xml:space="preserve">(D)  </w:t>
      </w:r>
      <w:bookmarkStart w:id="8" w:name="Bookmark__a_2_d"/>
      <w:bookmarkEnd w:id="8"/>
      <w:r>
        <w:rPr>
          <w:color w:val="000000"/>
        </w:rPr>
        <w:t>analytic support;</w:t>
      </w:r>
    </w:p>
    <w:p w14:paraId="3DF69EE8" w14:textId="77777777" w:rsidR="005C7287" w:rsidRDefault="00DE5A4A">
      <w:pPr>
        <w:spacing w:before="120" w:line="300" w:lineRule="atLeast"/>
        <w:ind w:left="1440"/>
      </w:pPr>
      <w:r>
        <w:rPr>
          <w:b/>
        </w:rPr>
        <w:t xml:space="preserve">(E)  </w:t>
      </w:r>
      <w:bookmarkStart w:id="9" w:name="Bookmark__a_2_e"/>
      <w:bookmarkEnd w:id="9"/>
      <w:r>
        <w:rPr>
          <w:color w:val="000000"/>
        </w:rPr>
        <w:t xml:space="preserve">threat </w:t>
      </w:r>
      <w:r>
        <w:rPr>
          <w:color w:val="000000"/>
        </w:rPr>
        <w:t>detection and hunting; and</w:t>
      </w:r>
    </w:p>
    <w:p w14:paraId="393B09F7" w14:textId="77777777" w:rsidR="005C7287" w:rsidRDefault="00DE5A4A">
      <w:pPr>
        <w:spacing w:before="120" w:line="300" w:lineRule="atLeast"/>
        <w:ind w:left="1440"/>
      </w:pPr>
      <w:r>
        <w:rPr>
          <w:b/>
        </w:rPr>
        <w:t xml:space="preserve">(F)  </w:t>
      </w:r>
      <w:bookmarkStart w:id="10" w:name="Bookmark__a_2_f"/>
      <w:bookmarkEnd w:id="10"/>
      <w:r>
        <w:rPr>
          <w:color w:val="000000"/>
        </w:rPr>
        <w:t>network protections;</w:t>
      </w:r>
    </w:p>
    <w:p w14:paraId="28FA20D9" w14:textId="77777777" w:rsidR="005C7287" w:rsidRDefault="00DE5A4A">
      <w:pPr>
        <w:spacing w:before="120" w:line="300" w:lineRule="atLeast"/>
        <w:ind w:left="1080"/>
      </w:pPr>
      <w:r>
        <w:rPr>
          <w:b/>
        </w:rPr>
        <w:t xml:space="preserve">(3)  </w:t>
      </w:r>
      <w:bookmarkStart w:id="11" w:name="Bookmark__a_3"/>
      <w:bookmarkEnd w:id="11"/>
      <w:r>
        <w:rPr>
          <w:color w:val="000000"/>
        </w:rPr>
        <w:t>as the Director determines appropriate, grants for, or cooperative agreements with, Federal, State, local, and Tribal public and private entities to respond to, and recover from, the specific signif</w:t>
      </w:r>
      <w:r>
        <w:rPr>
          <w:color w:val="000000"/>
        </w:rPr>
        <w:t>icant incident associated with a declaration, such as—</w:t>
      </w:r>
    </w:p>
    <w:p w14:paraId="1ECAEFB0" w14:textId="77777777" w:rsidR="005C7287" w:rsidRDefault="00DE5A4A">
      <w:pPr>
        <w:spacing w:before="120" w:line="300" w:lineRule="atLeast"/>
        <w:ind w:left="1440"/>
      </w:pPr>
      <w:r>
        <w:rPr>
          <w:b/>
        </w:rPr>
        <w:t xml:space="preserve">(A)  </w:t>
      </w:r>
      <w:bookmarkStart w:id="12" w:name="Bookmark__a_3_a"/>
      <w:bookmarkEnd w:id="12"/>
      <w:r>
        <w:rPr>
          <w:color w:val="000000"/>
        </w:rPr>
        <w:t>hardware or software to replace, update, improve, harden, or enhance the functionality of existing hardware, software, or systems; and</w:t>
      </w:r>
    </w:p>
    <w:p w14:paraId="6A59F805" w14:textId="77777777" w:rsidR="005C7287" w:rsidRDefault="00DE5A4A">
      <w:pPr>
        <w:spacing w:before="120" w:line="300" w:lineRule="atLeast"/>
        <w:ind w:left="1440"/>
      </w:pPr>
      <w:r>
        <w:rPr>
          <w:b/>
        </w:rPr>
        <w:t xml:space="preserve">(B)  </w:t>
      </w:r>
      <w:bookmarkStart w:id="13" w:name="Bookmark__a_3_b"/>
      <w:bookmarkEnd w:id="13"/>
      <w:r>
        <w:rPr>
          <w:color w:val="000000"/>
        </w:rPr>
        <w:t>technical contract personnel support; and</w:t>
      </w:r>
    </w:p>
    <w:p w14:paraId="188CC3CA" w14:textId="77777777" w:rsidR="005C7287" w:rsidRDefault="00DE5A4A">
      <w:pPr>
        <w:spacing w:before="120" w:line="300" w:lineRule="atLeast"/>
        <w:ind w:left="1080"/>
      </w:pPr>
      <w:r>
        <w:rPr>
          <w:b/>
        </w:rPr>
        <w:t xml:space="preserve">(4)  </w:t>
      </w:r>
      <w:bookmarkStart w:id="14" w:name="Bookmark__a_4"/>
      <w:bookmarkEnd w:id="14"/>
      <w:r>
        <w:rPr>
          <w:color w:val="000000"/>
        </w:rPr>
        <w:t>advance a</w:t>
      </w:r>
      <w:r>
        <w:rPr>
          <w:color w:val="000000"/>
        </w:rPr>
        <w:t>ctions taken by the Secretary under section 2233(f)(1)(B) [6 USCS § 677b(f)(1)(B)].</w:t>
      </w:r>
    </w:p>
    <w:p w14:paraId="6B3FEC67" w14:textId="77777777" w:rsidR="005C7287" w:rsidRDefault="00DE5A4A">
      <w:pPr>
        <w:spacing w:before="120" w:line="240" w:lineRule="atLeast"/>
        <w:ind w:left="720"/>
      </w:pPr>
      <w:r>
        <w:rPr>
          <w:b/>
        </w:rPr>
        <w:t xml:space="preserve">(b) Deposits and expenditures.  </w:t>
      </w:r>
      <w:bookmarkStart w:id="15" w:name="Bookmark__b"/>
      <w:bookmarkEnd w:id="15"/>
    </w:p>
    <w:p w14:paraId="0E5D2B53" w14:textId="77777777" w:rsidR="005C7287" w:rsidRDefault="00DE5A4A">
      <w:pPr>
        <w:spacing w:before="120" w:line="300" w:lineRule="atLeast"/>
        <w:ind w:left="1080"/>
      </w:pPr>
      <w:r>
        <w:rPr>
          <w:b/>
        </w:rPr>
        <w:t xml:space="preserve">(1)  </w:t>
      </w:r>
      <w:bookmarkStart w:id="16" w:name="Bookmark__b_1"/>
      <w:bookmarkEnd w:id="16"/>
      <w:r>
        <w:rPr>
          <w:color w:val="000000"/>
        </w:rPr>
        <w:t>In general. Amounts shall be deposited into the Fund from—</w:t>
      </w:r>
    </w:p>
    <w:p w14:paraId="2753C507" w14:textId="77777777" w:rsidR="005C7287" w:rsidRDefault="00DE5A4A">
      <w:pPr>
        <w:spacing w:before="120" w:line="300" w:lineRule="atLeast"/>
        <w:ind w:left="1440"/>
      </w:pPr>
      <w:r>
        <w:rPr>
          <w:b/>
        </w:rPr>
        <w:t xml:space="preserve">(A)  </w:t>
      </w:r>
      <w:bookmarkStart w:id="17" w:name="Bookmark__b_1_a"/>
      <w:bookmarkEnd w:id="17"/>
      <w:r>
        <w:rPr>
          <w:color w:val="000000"/>
        </w:rPr>
        <w:t>appropriations to the Fund for activities of the Fund; and</w:t>
      </w:r>
    </w:p>
    <w:p w14:paraId="53BA6805" w14:textId="77777777" w:rsidR="005C7287" w:rsidRDefault="00DE5A4A">
      <w:pPr>
        <w:spacing w:before="120" w:line="300" w:lineRule="atLeast"/>
        <w:ind w:left="1440"/>
      </w:pPr>
      <w:r>
        <w:rPr>
          <w:b/>
        </w:rPr>
        <w:lastRenderedPageBreak/>
        <w:t xml:space="preserve">(B)  </w:t>
      </w:r>
      <w:bookmarkStart w:id="18" w:name="Bookmark__b_1_b"/>
      <w:bookmarkEnd w:id="18"/>
      <w:r>
        <w:rPr>
          <w:color w:val="000000"/>
        </w:rPr>
        <w:t>reimbu</w:t>
      </w:r>
      <w:r>
        <w:rPr>
          <w:color w:val="000000"/>
        </w:rPr>
        <w:t>rsement from Federal agencies for the activities described in paragraphs (1), (2), and (4) of subsection (a), which shall only be from amounts made available in advance in appropriations Acts for such reimbursement.</w:t>
      </w:r>
    </w:p>
    <w:p w14:paraId="313576C9" w14:textId="77777777" w:rsidR="005C7287" w:rsidRDefault="00DE5A4A">
      <w:pPr>
        <w:spacing w:before="120" w:line="300" w:lineRule="atLeast"/>
        <w:ind w:left="1080"/>
      </w:pPr>
      <w:r>
        <w:rPr>
          <w:b/>
        </w:rPr>
        <w:t xml:space="preserve">(2)  </w:t>
      </w:r>
      <w:bookmarkStart w:id="19" w:name="Bookmark__b_2"/>
      <w:bookmarkEnd w:id="19"/>
      <w:r>
        <w:rPr>
          <w:color w:val="000000"/>
        </w:rPr>
        <w:t xml:space="preserve">Expenditures. Any expenditure from </w:t>
      </w:r>
      <w:r>
        <w:rPr>
          <w:color w:val="000000"/>
        </w:rPr>
        <w:t>the Fund for the purposes of this subtitle [6 USCS §§ 677 et seq.] shall be made from amounts available in the Fund from a deposit described in paragraph (1), and amounts available in the Fund shall be in addition to any other appropriations available to t</w:t>
      </w:r>
      <w:r>
        <w:rPr>
          <w:color w:val="000000"/>
        </w:rPr>
        <w:t>he Cybersecurity and Infrastructure Security Agency for such purposes.</w:t>
      </w:r>
    </w:p>
    <w:p w14:paraId="6B1AD73B" w14:textId="77777777" w:rsidR="005C7287" w:rsidRDefault="00DE5A4A">
      <w:pPr>
        <w:spacing w:before="120" w:line="300" w:lineRule="atLeast"/>
        <w:ind w:left="720"/>
      </w:pPr>
      <w:r>
        <w:rPr>
          <w:b/>
        </w:rPr>
        <w:t xml:space="preserve">(c) Supplement not supplant.   </w:t>
      </w:r>
      <w:bookmarkStart w:id="20" w:name="Bookmark__c"/>
      <w:bookmarkEnd w:id="20"/>
      <w:r>
        <w:rPr>
          <w:color w:val="000000"/>
        </w:rPr>
        <w:t>Amounts in the Fund shall be used to supplement, not supplant, other Federal, State, local, or Tribal funding for activities in response to a declaration.</w:t>
      </w:r>
    </w:p>
    <w:p w14:paraId="7FBFE6F2" w14:textId="77777777" w:rsidR="005C7287" w:rsidRDefault="00DE5A4A">
      <w:pPr>
        <w:spacing w:before="120" w:line="300" w:lineRule="atLeast"/>
        <w:ind w:left="720"/>
      </w:pPr>
      <w:r>
        <w:rPr>
          <w:b/>
        </w:rPr>
        <w:t xml:space="preserve">(d) Reporting.   </w:t>
      </w:r>
      <w:bookmarkStart w:id="21" w:name="Bookmark__d"/>
      <w:bookmarkEnd w:id="21"/>
      <w:r>
        <w:rPr>
          <w:color w:val="000000"/>
        </w:rPr>
        <w:t>The Secretary shall require an entity that receives amounts from the Fund to submit a report to the Secretary that details the specific use of the amounts.</w:t>
      </w:r>
    </w:p>
    <w:p w14:paraId="000BBD24" w14:textId="77777777" w:rsidR="005C7287" w:rsidRDefault="00DE5A4A">
      <w:pPr>
        <w:keepNext/>
        <w:spacing w:before="240" w:line="340" w:lineRule="atLeast"/>
      </w:pPr>
      <w:bookmarkStart w:id="22" w:name="History"/>
      <w:bookmarkEnd w:id="22"/>
      <w:r>
        <w:rPr>
          <w:b/>
          <w:color w:val="000000"/>
          <w:sz w:val="28"/>
        </w:rPr>
        <w:t>History</w:t>
      </w:r>
    </w:p>
    <w:p w14:paraId="5D63BEDB" w14:textId="4487BCE7" w:rsidR="005C7287" w:rsidRDefault="00DE5A4A">
      <w:pPr>
        <w:spacing w:line="60" w:lineRule="exact"/>
      </w:pPr>
      <w:r>
        <w:rPr>
          <w:noProof/>
        </w:rPr>
        <mc:AlternateContent>
          <mc:Choice Requires="wps">
            <w:drawing>
              <wp:anchor distT="0" distB="0" distL="114300" distR="114300" simplePos="0" relativeHeight="251659264" behindDoc="0" locked="0" layoutInCell="1" allowOverlap="1" wp14:anchorId="726748DB" wp14:editId="4BACF033">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FFEFF"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569DBAEA" w14:textId="77777777" w:rsidR="005C7287" w:rsidRDefault="005C7287"/>
    <w:p w14:paraId="7C1884F0" w14:textId="77777777" w:rsidR="005C7287" w:rsidRDefault="00DE5A4A">
      <w:pPr>
        <w:spacing w:before="120" w:line="300" w:lineRule="atLeast"/>
      </w:pPr>
      <w:r>
        <w:rPr>
          <w:color w:val="000000"/>
        </w:rPr>
        <w:t xml:space="preserve">Nov. 25, 2002, P.L. 107-296, Title XXII, Subtitle C, § 2234, as added </w:t>
      </w:r>
      <w:r>
        <w:rPr>
          <w:color w:val="000000"/>
        </w:rPr>
        <w:t>Nov. 15, 2021, P.L. 117-58, Div G, Title VI, Subtitle A, § 70602(a), 135 Stat. 1270.</w:t>
      </w:r>
    </w:p>
    <w:p w14:paraId="53B0D489" w14:textId="77777777" w:rsidR="005C7287" w:rsidRDefault="00DE5A4A">
      <w:pPr>
        <w:spacing w:before="120" w:line="260" w:lineRule="atLeast"/>
      </w:pPr>
      <w:r>
        <w:br/>
      </w:r>
      <w:r>
        <w:rPr>
          <w:color w:val="000000"/>
          <w:sz w:val="20"/>
        </w:rPr>
        <w:t>United States Code Service</w:t>
      </w:r>
    </w:p>
    <w:p w14:paraId="41D67498" w14:textId="77777777" w:rsidR="005C7287" w:rsidRDefault="00DE5A4A">
      <w:pPr>
        <w:spacing w:line="260" w:lineRule="atLeast"/>
      </w:pPr>
      <w:r>
        <w:rPr>
          <w:color w:val="000000"/>
          <w:sz w:val="20"/>
        </w:rPr>
        <w:t>Copyright © 2024 All rights reserved.</w:t>
      </w:r>
    </w:p>
    <w:p w14:paraId="5B43C97A" w14:textId="77777777" w:rsidR="005C7287" w:rsidRDefault="005C7287"/>
    <w:p w14:paraId="52953A7D" w14:textId="456CD0A3" w:rsidR="005C7287" w:rsidRDefault="00DE5A4A">
      <w:pPr>
        <w:ind w:left="200"/>
      </w:pPr>
      <w:r>
        <w:br/>
      </w:r>
      <w:r>
        <w:rPr>
          <w:noProof/>
        </w:rPr>
        <mc:AlternateContent>
          <mc:Choice Requires="wps">
            <w:drawing>
              <wp:anchor distT="0" distB="0" distL="114300" distR="114300" simplePos="0" relativeHeight="251660288" behindDoc="0" locked="0" layoutInCell="1" allowOverlap="1" wp14:anchorId="7F62DBB6" wp14:editId="16152D05">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814C7"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5C7287">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73B88" w14:textId="77777777" w:rsidR="00000000" w:rsidRDefault="00DE5A4A">
      <w:r>
        <w:separator/>
      </w:r>
    </w:p>
  </w:endnote>
  <w:endnote w:type="continuationSeparator" w:id="0">
    <w:p w14:paraId="67818548" w14:textId="77777777" w:rsidR="00000000" w:rsidRDefault="00DE5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5C7287" w14:paraId="36B67A7D" w14:textId="77777777">
      <w:trPr>
        <w:jc w:val="center"/>
      </w:trPr>
      <w:tc>
        <w:tcPr>
          <w:tcW w:w="2600" w:type="dxa"/>
          <w:tcMar>
            <w:top w:w="200" w:type="dxa"/>
          </w:tcMar>
          <w:vAlign w:val="center"/>
        </w:tcPr>
        <w:p w14:paraId="79735021" w14:textId="77777777" w:rsidR="005C7287" w:rsidRDefault="005C7287"/>
      </w:tc>
      <w:tc>
        <w:tcPr>
          <w:tcW w:w="4880" w:type="dxa"/>
          <w:tcMar>
            <w:top w:w="200" w:type="dxa"/>
          </w:tcMar>
          <w:vAlign w:val="center"/>
        </w:tcPr>
        <w:p w14:paraId="57D60377" w14:textId="77777777" w:rsidR="005C7287" w:rsidRDefault="005C7287"/>
      </w:tc>
      <w:tc>
        <w:tcPr>
          <w:tcW w:w="2600" w:type="dxa"/>
          <w:tcMar>
            <w:top w:w="200" w:type="dxa"/>
          </w:tcMar>
          <w:vAlign w:val="center"/>
        </w:tcPr>
        <w:p w14:paraId="484FC146" w14:textId="77777777" w:rsidR="005C7287" w:rsidRDefault="005C7287"/>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C1CF9" w14:textId="77777777" w:rsidR="005C7287" w:rsidRDefault="00DE5A4A">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67FA3" w14:textId="77777777" w:rsidR="00000000" w:rsidRDefault="00DE5A4A">
      <w:r>
        <w:separator/>
      </w:r>
    </w:p>
  </w:footnote>
  <w:footnote w:type="continuationSeparator" w:id="0">
    <w:p w14:paraId="676D5B39" w14:textId="77777777" w:rsidR="00000000" w:rsidRDefault="00DE5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5C7287" w14:paraId="6F16B446" w14:textId="77777777">
      <w:trPr>
        <w:jc w:val="center"/>
      </w:trPr>
      <w:tc>
        <w:tcPr>
          <w:tcW w:w="10080" w:type="dxa"/>
          <w:vAlign w:val="center"/>
        </w:tcPr>
        <w:p w14:paraId="154ABBE3" w14:textId="01C74CBB" w:rsidR="005C7287" w:rsidRDefault="00DE5A4A">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5C7287" w14:paraId="37A22DA3" w14:textId="77777777">
      <w:trPr>
        <w:jc w:val="center"/>
      </w:trPr>
      <w:tc>
        <w:tcPr>
          <w:tcW w:w="10080" w:type="dxa"/>
        </w:tcPr>
        <w:p w14:paraId="550EE634" w14:textId="77777777" w:rsidR="005C7287" w:rsidRDefault="00DE5A4A">
          <w:pPr>
            <w:spacing w:before="60" w:after="200"/>
            <w:jc w:val="center"/>
          </w:pPr>
          <w:r>
            <w:rPr>
              <w:sz w:val="20"/>
            </w:rPr>
            <w:t>§ 677c. Cyber Response and Recovery Fund [Effective until November 15, 2028]</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5C7287"/>
    <w:rsid w:val="00A77B3E"/>
    <w:rsid w:val="00CA2A55"/>
    <w:rsid w:val="00DE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0DAFBFE2"/>
  <w15:docId w15:val="{AA7E4553-16DF-4583-99C1-79917D1D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8D0CCEF7-F3EC-42FF-AB12-4DC1E4F3D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71B025-8165-4F7E-ACF2-420B7C4EF149}">
  <ds:schemaRefs>
    <ds:schemaRef ds:uri="http://schemas.microsoft.com/sharepoint/v3/contenttype/forms"/>
  </ds:schemaRefs>
</ds:datastoreItem>
</file>

<file path=customXml/itemProps3.xml><?xml version="1.0" encoding="utf-8"?>
<ds:datastoreItem xmlns:ds="http://schemas.openxmlformats.org/officeDocument/2006/customXml" ds:itemID="{F71ECBA9-038C-4B7F-9AC7-BE8FE46EA396}">
  <ds:schemaRefs>
    <ds:schemaRef ds:uri="http://schemas.microsoft.com/office/2006/metadata/properties"/>
    <ds:schemaRef ds:uri="4e6a8aeb-c29e-4a8a-85db-b95bdfea3467"/>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55d6ef15-79d8-436f-a155-0c3446167541"/>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2567</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677c. Cyber Response and Recovery Fund [Effective until November 15, 2028]</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677c. Cyber Response and Recovery Fund [Effective until November 15, 2028]</dc:title>
  <dc:creator>Trayce Hockstad</dc:creator>
  <cp:lastModifiedBy>Trayce Hockstad</cp:lastModifiedBy>
  <cp:revision>2</cp:revision>
  <dcterms:created xsi:type="dcterms:W3CDTF">2024-05-31T20:51:00Z</dcterms:created>
  <dcterms:modified xsi:type="dcterms:W3CDTF">2024-05-31T20:51:00Z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4DS-K4W3-CH1B-T0D6-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