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128A-14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1. Government (Titles 1 — 21)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Public Safety and Internal Security (Chs. 121 — 138)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128A Homeland Security (Pts.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Statewide Public Safety Interoperable Communications (§§ 128A-11 — 128A-15)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128A-14. Statewide interoperable communications technical subcommittee.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There is established a statewide interoperable communications technical subcommittee to provide technical advice to the statewide interoperable communications executive committee.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Membership of the statewide interoperable communications technical subcommittee shall be limited to representatives from any governmental agency having duties that include management, planning, and operation of public safety communications systems and networks, including government land mobile radio and broadband networks and those related to emergency communications centers and public safety answering points; provided that:</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statewide interoperable communications coordinator shall serve as the chairperson of the statewide interoperable communications technical subcommittee;</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The respective lead radio communication engineer or manager for the State and each county, or each lead radio communication engineer or manager’s respective designee, shall serve on the subcommittee as subject matter experts for their respective radio communication systems and networks; and</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The respective lead information security manager for the State and each county, or each lead information security manager’s respective designee, shall serve on the subcommittee as subject matter experts for matters relating to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The statewide interoperable communications technical subcommittee shall:</w:t>
      </w:r>
    </w:p>
    <w:p>
      <w:pPr>
        <w:keepNext w:val="0"/>
        <w:spacing w:before="120" w:after="0" w:line="300" w:lineRule="atLeast"/>
        <w:ind w:left="1080" w:right="0"/>
        <w:jc w:val="left"/>
      </w:pPr>
      <w:r>
        <w:rPr>
          <w:b/>
        </w:rPr>
        <w:t xml:space="preserve">(1)  </w:t>
      </w:r>
      <w:bookmarkStart w:id="7" w:name="Bookmark__c_1"/>
      <w:bookmarkEnd w:id="7"/>
      <w:r>
        <w:rPr>
          <w:rFonts w:ascii="times" w:eastAsia="times" w:hAnsi="times" w:cs="times"/>
          <w:b w:val="0"/>
          <w:i w:val="0"/>
          <w:strike w:val="0"/>
          <w:noProof w:val="0"/>
          <w:color w:val="000000"/>
          <w:position w:val="0"/>
          <w:sz w:val="24"/>
          <w:u w:val="none"/>
          <w:vertAlign w:val="baseline"/>
        </w:rPr>
        <w:t>Not have a fixed membership, subject to the limitation established in subsection (b);</w:t>
      </w:r>
    </w:p>
    <w:p>
      <w:pPr>
        <w:keepNext w:val="0"/>
        <w:spacing w:before="120" w:after="0" w:line="300" w:lineRule="atLeast"/>
        <w:ind w:left="1080" w:right="0"/>
        <w:jc w:val="left"/>
      </w:pPr>
      <w:r>
        <w:rPr>
          <w:b/>
        </w:rPr>
        <w:t xml:space="preserve">(2)  </w:t>
      </w:r>
      <w:bookmarkStart w:id="8" w:name="Bookmark__c_2"/>
      <w:bookmarkEnd w:id="8"/>
      <w:r>
        <w:rPr>
          <w:rFonts w:ascii="times" w:eastAsia="times" w:hAnsi="times" w:cs="times"/>
          <w:b w:val="0"/>
          <w:i w:val="0"/>
          <w:strike w:val="0"/>
          <w:noProof w:val="0"/>
          <w:color w:val="000000"/>
          <w:position w:val="0"/>
          <w:sz w:val="24"/>
          <w:u w:val="none"/>
          <w:vertAlign w:val="baseline"/>
        </w:rPr>
        <w:t>Not be subject to any quorum requirement; and</w:t>
      </w:r>
    </w:p>
    <w:p>
      <w:pPr>
        <w:keepNext w:val="0"/>
        <w:spacing w:before="120" w:after="0" w:line="300" w:lineRule="atLeast"/>
        <w:ind w:left="1080" w:right="0"/>
        <w:jc w:val="left"/>
      </w:pPr>
      <w:r>
        <w:rPr>
          <w:b/>
        </w:rPr>
        <w:t xml:space="preserve">(3)  </w:t>
      </w:r>
      <w:bookmarkStart w:id="9" w:name="Bookmark__c_3"/>
      <w:bookmarkEnd w:id="9"/>
      <w:r>
        <w:rPr>
          <w:rFonts w:ascii="times" w:eastAsia="times" w:hAnsi="times" w:cs="times"/>
          <w:b w:val="0"/>
          <w:i w:val="0"/>
          <w:strike w:val="0"/>
          <w:noProof w:val="0"/>
          <w:color w:val="000000"/>
          <w:position w:val="0"/>
          <w:sz w:val="24"/>
          <w:u w:val="none"/>
          <w:vertAlign w:val="baseline"/>
        </w:rPr>
        <w:t>Be exempt from part I of chapter 92.</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2022, c 97, § 2, effective January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128A-14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128A-14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vt:lpwstr>
  </property>
  <property fmtid="{D5CDD505-2E9C-101B-9397-08002B2CF9AE}" pid="3" name="LADocCount">
    <vt:lpwstr>1</vt:lpwstr>
  </property>
  <property fmtid="{D5CDD505-2E9C-101B-9397-08002B2CF9AE}" pid="4" name="LADocumentID:20">
    <vt:lpwstr>Doc::urn:hlct:15|contextualFeaturePermID::1519360</vt:lpwstr>
  </property>
  <property fmtid="{D5CDD505-2E9C-101B-9397-08002B2CF9AE}" pid="5" name="UserPermID">
    <vt:lpwstr>urn:user:PA186163333</vt:lpwstr>
  </property>
</Properties>
</file>