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General Provisions (§§ 431:3B-101 — 431:3B-107)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431:3B-101.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“Commissioner” means the insurance commissioner of the State.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“Consumer” means an individual, including but not limited to applicants, policyholders, insureds, beneficiaries, claimants, and certificate holders, who is a resident of this State and whose nonpublic information is in a licensee’s possession, custody, or control.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disruption or misuse of, an information system or nonpublic information stored on that information system.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 event in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of assigning meaning without the use of a protective process or key.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as well as any specialized systems, such as industrial controls systems, process controls systems, telephone switching and private branch exchange systems, and environmental control systems.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“Licensee” means every licensed insurer, producer, and any other person licensed or required to be licensed, authorized or required to be authorized, or registered or required to be registered, under chapter 431 or 432, or holding a certificate of authority under chapter 432D. “Licensee” does not include a purchasing group or risk retention group chartered and licensed in a state other than this State, or a licensee that is acting as an assuming insurer that is domiciled in another state or jurisdiction.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080" w:right="0"/>
        <w:jc w:val="left"/>
      </w:pPr>
      <w:r>
        <w:rPr>
          <w:b/>
        </w:rPr>
        <w:t xml:space="preserve">(1)  </w:t>
      </w:r>
      <w:bookmarkStart w:id="3" w:name="Bookmark__1_seq2"/>
      <w:bookmarkEnd w:id="3"/>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080" w:right="0"/>
        <w:jc w:val="left"/>
      </w:pPr>
      <w:r>
        <w:rPr>
          <w:b/>
        </w:rPr>
        <w:t xml:space="preserve">(2)  </w:t>
      </w:r>
      <w:bookmarkStart w:id="4" w:name="Bookmark__2_seq2"/>
      <w:bookmarkEnd w:id="4"/>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“Nonpublic information” means electronic information that is not publicly available information and is:</w:t>
      </w:r>
    </w:p>
    <w:p>
      <w:pPr>
        <w:keepNext w:val="0"/>
        <w:spacing w:before="120" w:after="0" w:line="300" w:lineRule="atLeast"/>
        <w:ind w:left="1080" w:right="0"/>
        <w:jc w:val="left"/>
      </w:pPr>
      <w:r>
        <w:rPr>
          <w:b/>
        </w:rPr>
        <w:t xml:space="preserve">(1)  </w:t>
      </w:r>
      <w:bookmarkStart w:id="6" w:name="Bookmark__1_seq3"/>
      <w:bookmarkEnd w:id="6"/>
      <w:r>
        <w:rPr>
          <w:rFonts w:ascii="times" w:eastAsia="times" w:hAnsi="times" w:cs="times"/>
          <w:b w:val="0"/>
          <w:i w:val="0"/>
          <w:strike w:val="0"/>
          <w:noProof w:val="0"/>
          <w:color w:val="000000"/>
          <w:position w:val="0"/>
          <w:sz w:val="24"/>
          <w:u w:val="none"/>
          <w:vertAlign w:val="baseline"/>
        </w:rPr>
        <w:t>Any information concerning a consumer that, because of name, number, personal mark, or other identifier, can be used to identify the consumer, in combination with any one or more of the following data elements:</w:t>
      </w:r>
    </w:p>
    <w:p>
      <w:pPr>
        <w:keepNext w:val="0"/>
        <w:spacing w:before="120" w:after="0" w:line="300" w:lineRule="atLeast"/>
        <w:ind w:left="1440" w:right="0"/>
        <w:jc w:val="left"/>
      </w:pPr>
      <w:r>
        <w:rPr>
          <w:b/>
        </w:rPr>
        <w:t xml:space="preserve">(A)  </w:t>
      </w:r>
      <w:bookmarkStart w:id="7" w:name="Bookmark__1_a"/>
      <w:bookmarkEnd w:id="7"/>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(B)  </w:t>
      </w:r>
      <w:bookmarkStart w:id="8" w:name="Bookmark__1_b"/>
      <w:bookmarkEnd w:id="8"/>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440" w:right="0"/>
        <w:jc w:val="left"/>
      </w:pPr>
      <w:r>
        <w:rPr>
          <w:b/>
        </w:rPr>
        <w:t xml:space="preserve">(C)  </w:t>
      </w:r>
      <w:bookmarkStart w:id="9" w:name="Bookmark__1_c"/>
      <w:bookmarkEnd w:id="9"/>
      <w:r>
        <w:rPr>
          <w:rFonts w:ascii="times" w:eastAsia="times" w:hAnsi="times" w:cs="times"/>
          <w:b w:val="0"/>
          <w:i w:val="0"/>
          <w:strike w:val="0"/>
          <w:noProof w:val="0"/>
          <w:color w:val="000000"/>
          <w:position w:val="0"/>
          <w:sz w:val="24"/>
          <w:u w:val="none"/>
          <w:vertAlign w:val="baseline"/>
        </w:rPr>
        <w:t>Financial account number or credit or debit card number;</w:t>
      </w:r>
    </w:p>
    <w:p>
      <w:pPr>
        <w:keepNext w:val="0"/>
        <w:spacing w:before="120" w:after="0" w:line="300" w:lineRule="atLeast"/>
        <w:ind w:left="1440" w:right="0"/>
        <w:jc w:val="left"/>
      </w:pPr>
      <w:r>
        <w:rPr>
          <w:b/>
        </w:rPr>
        <w:t xml:space="preserve">(D)  </w:t>
      </w:r>
      <w:bookmarkStart w:id="10" w:name="Bookmark__1_d"/>
      <w:bookmarkEnd w:id="10"/>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 or</w:t>
      </w:r>
    </w:p>
    <w:p>
      <w:pPr>
        <w:keepNext w:val="0"/>
        <w:spacing w:before="120" w:after="0" w:line="300" w:lineRule="atLeast"/>
        <w:ind w:left="1440" w:right="0"/>
        <w:jc w:val="left"/>
      </w:pPr>
      <w:r>
        <w:rPr>
          <w:b/>
        </w:rPr>
        <w:t xml:space="preserve">(E)  </w:t>
      </w:r>
      <w:bookmarkStart w:id="11" w:name="Bookmark__1_e"/>
      <w:bookmarkEnd w:id="11"/>
      <w:r>
        <w:rPr>
          <w:rFonts w:ascii="times" w:eastAsia="times" w:hAnsi="times" w:cs="times"/>
          <w:b w:val="0"/>
          <w:i w:val="0"/>
          <w:strike w:val="0"/>
          <w:noProof w:val="0"/>
          <w:color w:val="000000"/>
          <w:position w:val="0"/>
          <w:sz w:val="24"/>
          <w:u w:val="none"/>
          <w:vertAlign w:val="baseline"/>
        </w:rPr>
        <w:t>Biometric records; or</w:t>
      </w:r>
    </w:p>
    <w:p>
      <w:pPr>
        <w:keepNext w:val="0"/>
        <w:spacing w:before="120" w:after="0" w:line="300" w:lineRule="atLeast"/>
        <w:ind w:left="1080" w:right="0"/>
        <w:jc w:val="left"/>
      </w:pPr>
      <w:r>
        <w:rPr>
          <w:b/>
        </w:rPr>
        <w:t xml:space="preserve">(2)  </w:t>
      </w:r>
      <w:bookmarkStart w:id="12" w:name="Bookmark__2_seq3"/>
      <w:bookmarkEnd w:id="12"/>
      <w:r>
        <w:rPr>
          <w:rFonts w:ascii="times" w:eastAsia="times" w:hAnsi="times" w:cs="times"/>
          <w:b w:val="0"/>
          <w:i w:val="0"/>
          <w:strike w:val="0"/>
          <w:noProof w:val="0"/>
          <w:color w:val="000000"/>
          <w:position w:val="0"/>
          <w:sz w:val="24"/>
          <w:u w:val="none"/>
          <w:vertAlign w:val="baseline"/>
        </w:rPr>
        <w:t>Any information or data subject to the Health Insurance Portability and Accountability Act of 1996, P.L. 104-191, except age or gender, in any form or medium created by or derived from a health care provider or a consumer that identifies a particular consumer and that relates to:</w:t>
      </w:r>
    </w:p>
    <w:p>
      <w:pPr>
        <w:keepNext w:val="0"/>
        <w:spacing w:before="120" w:after="0" w:line="300" w:lineRule="atLeast"/>
        <w:ind w:left="1440" w:right="0"/>
        <w:jc w:val="left"/>
      </w:pPr>
      <w:r>
        <w:rPr>
          <w:b/>
        </w:rPr>
        <w:t xml:space="preserve">(A)  </w:t>
      </w:r>
      <w:bookmarkStart w:id="13" w:name="Bookmark__2_a"/>
      <w:bookmarkEnd w:id="13"/>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440" w:right="0"/>
        <w:jc w:val="left"/>
      </w:pPr>
      <w:r>
        <w:rPr>
          <w:b/>
        </w:rPr>
        <w:t xml:space="preserve">(B)  </w:t>
      </w:r>
      <w:bookmarkStart w:id="14" w:name="Bookmark__2_b"/>
      <w:bookmarkEnd w:id="14"/>
      <w:r>
        <w:rPr>
          <w:rFonts w:ascii="times" w:eastAsia="times" w:hAnsi="times" w:cs="times"/>
          <w:b w:val="0"/>
          <w:i w:val="0"/>
          <w:strike w:val="0"/>
          <w:noProof w:val="0"/>
          <w:color w:val="000000"/>
          <w:position w:val="0"/>
          <w:sz w:val="24"/>
          <w:u w:val="none"/>
          <w:vertAlign w:val="baseline"/>
        </w:rPr>
        <w:t>The provision of health care to any consumer; or</w:t>
      </w:r>
    </w:p>
    <w:p>
      <w:pPr>
        <w:keepNext w:val="0"/>
        <w:spacing w:before="120" w:after="0" w:line="300" w:lineRule="atLeast"/>
        <w:ind w:left="1440" w:right="0"/>
        <w:jc w:val="left"/>
      </w:pPr>
      <w:r>
        <w:rPr>
          <w:b/>
        </w:rPr>
        <w:t xml:space="preserve">(C)  </w:t>
      </w:r>
      <w:bookmarkStart w:id="15" w:name="Bookmark__2_c"/>
      <w:bookmarkEnd w:id="15"/>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any non-governmental partnership, corporation, branch, agency, or association.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 For purposes of this definition, a licensee has a reasonable basis to believe that information is lawfully made available to the general public if the licensee has taken steps to determine:</w:t>
      </w:r>
    </w:p>
    <w:p>
      <w:pPr>
        <w:keepNext w:val="0"/>
        <w:spacing w:before="120" w:after="0" w:line="300" w:lineRule="atLeast"/>
        <w:ind w:left="1080" w:right="0"/>
        <w:jc w:val="left"/>
      </w:pPr>
      <w:r>
        <w:rPr>
          <w:b/>
        </w:rPr>
        <w:t xml:space="preserve">(1)  </w:t>
      </w:r>
      <w:bookmarkStart w:id="16" w:name="Bookmark__1_seq4"/>
      <w:bookmarkEnd w:id="16"/>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080" w:right="0"/>
        <w:jc w:val="left"/>
      </w:pPr>
      <w:r>
        <w:rPr>
          <w:b/>
        </w:rPr>
        <w:t xml:space="preserve">(2)  </w:t>
      </w:r>
      <w:bookmarkStart w:id="17" w:name="Bookmark__2_seq4"/>
      <w:bookmarkEnd w:id="17"/>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the consumer has not done so.</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section 431: -202.</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“State” means the State of Hawaii.</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store, or otherwise is permitted access to nonpublic information through its provision of services to the licensee.</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