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III.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Events (§§ 431:3B-301 — 431:3B-306)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431:3B-302.]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Each licensee shall notify the commissioner as promptly as possible, but in no event later than three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two hundred fifty or more consumers has occurred. If law enforcement officials instruct a licensee not to distribute information regarding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not be required to provide notification until instructed to do so by law enforcement officials. Notification shall be provided when either of the following criteria has been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licensee is domiciled in the State, in the case of an insurer, or the licensee’s home state is Hawaii, in the case of an independent insurance producer;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involved is of two hundred fifty or more consumers residing in the State and is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Any consumer residing in the State; or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Any material part of the normal operation of the licensee.</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The licensee shall provide as much of the following information as possible and practicable and as promptly as possible:</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The description of how the nonpublic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9" w:name="Bookmark__b_3"/>
      <w:bookmarkEnd w:id="9"/>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0" w:name="Bookmark__b_4"/>
      <w:bookmarkEnd w:id="10"/>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it was recovered;</w:t>
      </w:r>
    </w:p>
    <w:p>
      <w:pPr>
        <w:keepNext w:val="0"/>
        <w:spacing w:before="120" w:after="0" w:line="300" w:lineRule="atLeast"/>
        <w:ind w:left="1080" w:right="0"/>
        <w:jc w:val="left"/>
      </w:pPr>
      <w:r>
        <w:rPr>
          <w:b/>
        </w:rPr>
        <w:t xml:space="preserve">(5)  </w:t>
      </w:r>
      <w:bookmarkStart w:id="11" w:name="Bookmark__b_5"/>
      <w:bookmarkEnd w:id="11"/>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2" w:name="Bookmark__b_6"/>
      <w:bookmarkEnd w:id="12"/>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the notification was provided;</w:t>
      </w:r>
    </w:p>
    <w:p>
      <w:pPr>
        <w:keepNext w:val="0"/>
        <w:spacing w:before="120" w:after="0" w:line="300" w:lineRule="atLeast"/>
        <w:ind w:left="1080" w:right="0"/>
        <w:jc w:val="left"/>
      </w:pPr>
      <w:r>
        <w:rPr>
          <w:b/>
        </w:rPr>
        <w:t xml:space="preserve">(7)  </w:t>
      </w:r>
      <w:bookmarkStart w:id="13" w:name="Bookmark__b_7"/>
      <w:bookmarkEnd w:id="13"/>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For purposes of this paragraph, “specific types of information” means particular data elements, including but not limited to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(8)  </w:t>
      </w:r>
      <w:bookmarkStart w:id="14" w:name="Bookmark__b_8"/>
      <w:bookmarkEnd w:id="14"/>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5" w:name="Bookmark__b_9"/>
      <w:bookmarkEnd w:id="15"/>
      <w:r>
        <w:rPr>
          <w:rFonts w:ascii="times" w:eastAsia="times" w:hAnsi="times" w:cs="times"/>
          <w:b w:val="0"/>
          <w:i w:val="0"/>
          <w:strike w:val="0"/>
          <w:noProof w:val="0"/>
          <w:color w:val="000000"/>
          <w:position w:val="0"/>
          <w:sz w:val="24"/>
          <w:u w:val="none"/>
          <w:vertAlign w:val="baseline"/>
        </w:rPr>
        <w:t xml:space="preserve">The number of total consumers in the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notification to the commissioner and update this estimate with each subsequent notification to the commissioner pursuant to this section;</w:t>
      </w:r>
    </w:p>
    <w:p>
      <w:pPr>
        <w:keepNext w:val="0"/>
        <w:spacing w:before="120" w:after="0" w:line="300" w:lineRule="atLeast"/>
        <w:ind w:left="1080" w:right="0"/>
        <w:jc w:val="left"/>
      </w:pPr>
      <w:r>
        <w:rPr>
          <w:b/>
        </w:rPr>
        <w:t xml:space="preserve">(10)  </w:t>
      </w:r>
      <w:bookmarkStart w:id="16" w:name="Bookmark__b_10"/>
      <w:bookmarkEnd w:id="16"/>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(11)  </w:t>
      </w:r>
      <w:bookmarkStart w:id="17" w:name="Bookmark__b_11"/>
      <w:bookmarkEnd w:id="17"/>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18" w:name="Bookmark__b_12"/>
      <w:bookmarkEnd w:id="18"/>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(13)  </w:t>
      </w:r>
      <w:bookmarkStart w:id="19" w:name="Bookmark__b_13"/>
      <w:bookmarkEnd w:id="19"/>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(c)  </w:t>
      </w:r>
      <w:bookmarkStart w:id="20" w:name="Bookmark__c"/>
      <w:bookmarkEnd w:id="20"/>
      <w:r>
        <w:rPr>
          <w:rFonts w:ascii="times" w:eastAsia="times" w:hAnsi="times" w:cs="times"/>
          <w:b w:val="0"/>
          <w:i w:val="0"/>
          <w:strike w:val="0"/>
          <w:noProof w:val="0"/>
          <w:color w:val="000000"/>
          <w:position w:val="0"/>
          <w:sz w:val="24"/>
          <w:u w:val="none"/>
          <w:vertAlign w:val="baseline"/>
        </w:rPr>
        <w:t>The licensee shall provide the information in electronic form as directed by the commissioner.</w:t>
      </w:r>
    </w:p>
    <w:p>
      <w:pPr>
        <w:keepNext w:val="0"/>
        <w:spacing w:before="120" w:after="0" w:line="300" w:lineRule="atLeast"/>
        <w:ind w:left="720" w:right="0"/>
        <w:jc w:val="left"/>
      </w:pPr>
      <w:r>
        <w:rPr>
          <w:b/>
        </w:rPr>
        <w:t xml:space="preserve">(d)  </w:t>
      </w:r>
      <w:bookmarkStart w:id="21" w:name="Bookmark__d"/>
      <w:bookmarkEnd w:id="21"/>
      <w:r>
        <w:rPr>
          <w:rFonts w:ascii="times" w:eastAsia="times" w:hAnsi="times" w:cs="times"/>
          <w:b w:val="0"/>
          <w:i w:val="0"/>
          <w:strike w:val="0"/>
          <w:noProof w:val="0"/>
          <w:color w:val="000000"/>
          <w:position w:val="0"/>
          <w:sz w:val="24"/>
          <w:u w:val="none"/>
          <w:vertAlign w:val="baseline"/>
        </w:rPr>
        <w:t xml:space="preserve">The licensee shall have a continuing obligation to update and supplement initial and subsequent notifications to the commissioner regarding material changes to previously provided information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(e)  </w:t>
      </w:r>
      <w:bookmarkStart w:id="22" w:name="Bookmark__e"/>
      <w:bookmarkEnd w:id="22"/>
      <w:r>
        <w:rPr>
          <w:rFonts w:ascii="times" w:eastAsia="times" w:hAnsi="times" w:cs="times"/>
          <w:b w:val="0"/>
          <w:i w:val="0"/>
          <w:strike w:val="0"/>
          <w:noProof w:val="0"/>
          <w:color w:val="000000"/>
          <w:position w:val="0"/>
          <w:sz w:val="24"/>
          <w:u w:val="none"/>
          <w:vertAlign w:val="baseline"/>
        </w:rPr>
        <w:t>This section shall not supersede any reporting requirements in chapter 487N.</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431:3B-302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431:3B-302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