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815 ILCS 530/5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815 BUSINESS TRANSACTIONS (§§ 5/1 — 730/99)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Personal Information Protection Act (§§ 530/1 — 530/900)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815 ILCS 530/5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In this Act:</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may include, but is not limited to, government agencies, public and private universities, privately and publicly held corporations, financial institutions, retail operators, and any other entity that, for any purpose, handles, collects, disseminates, or otherwise deals with nonpublic personal information.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or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means unauthorized acquisition of computerized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that compromises the security, confidentiality, or integrity of personal information maintained by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the security of the system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does not include good faith acquisition of personal information by an employee or agent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for a legitimate purpose of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 provided that the personal information is not used for a purpose unrelated to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collector’s business or subject to further unauthorized disclosure.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“Health insurance information” means an individual’s health insurance policy number or subscriber identification number, any unique identifier used by a health insurer to identify the individual, or any medical information in an individual’s health insurance application and claims history, including any appeals records.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“Medical information” means any information regarding an individual’s medical history, mental or physical condition, or medical treatment or diagnosis by a healthcare professional, including such information provided to a website or mobile application.</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“Personal information” means either of the following:</w:t>
      </w:r>
    </w:p>
    <w:p>
      <w:pPr>
        <w:keepNext w:val="0"/>
        <w:spacing w:before="120" w:after="0" w:line="300" w:lineRule="atLeast"/>
        <w:ind w:left="144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an individual’s first name or first initial and last name in combination with any one or more of the following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when either the name or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are not encrypted or redacted or are encrypted or redacted but the keys to unencrypt or unredact or otherwise read the name or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have been acquired without authorization through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w:t>
      </w:r>
    </w:p>
    <w:p>
      <w:pPr>
        <w:keepNext w:val="0"/>
        <w:spacing w:before="120" w:after="0" w:line="300" w:lineRule="atLeast"/>
        <w:ind w:left="180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Driver’s license number or State identification card number.</w:t>
      </w:r>
    </w:p>
    <w:p>
      <w:pPr>
        <w:keepNext w:val="0"/>
        <w:spacing w:before="120" w:after="0" w:line="300" w:lineRule="atLeast"/>
        <w:ind w:left="180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Account number or credit or debit card number, or an account number or credit card number in combination with any required security code, access code, or password that would permit access to an individual’s financial account.</w:t>
      </w:r>
    </w:p>
    <w:p>
      <w:pPr>
        <w:keepNext w:val="0"/>
        <w:spacing w:before="120" w:after="0" w:line="300" w:lineRule="atLeast"/>
        <w:ind w:left="180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Medical information.</w:t>
      </w:r>
    </w:p>
    <w:p>
      <w:pPr>
        <w:keepNext w:val="0"/>
        <w:spacing w:before="120" w:after="0" w:line="300" w:lineRule="atLeast"/>
        <w:ind w:left="180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Health insurance information.</w:t>
      </w:r>
    </w:p>
    <w:p>
      <w:pPr>
        <w:keepNext w:val="0"/>
        <w:spacing w:before="120" w:after="0" w:line="300" w:lineRule="atLeast"/>
        <w:ind w:left="1800" w:right="0"/>
        <w:jc w:val="left"/>
      </w:pPr>
      <w:r>
        <w:rPr>
          <w:b/>
        </w:rPr>
        <w:t xml:space="preserve">(F)  </w:t>
      </w:r>
      <w:bookmarkStart w:id="7" w:name="Bookmark__1_f"/>
      <w:bookmarkEnd w:id="7"/>
      <w:r>
        <w:rPr>
          <w:rFonts w:ascii="times" w:eastAsia="times" w:hAnsi="times" w:cs="times"/>
          <w:b w:val="0"/>
          <w:i w:val="0"/>
          <w:strike w:val="0"/>
          <w:noProof w:val="0"/>
          <w:color w:val="000000"/>
          <w:position w:val="0"/>
          <w:sz w:val="24"/>
          <w:u w:val="none"/>
          <w:vertAlign w:val="baseline"/>
        </w:rPr>
        <w:t xml:space="preserve">Unique 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generated from measurements or technical analysis of human body characteristics used by the owner or licensee to authenticate an individual, such as a fingerprint, retina or iris image, or other unique physical representation or digital representation of biometric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440" w:right="0"/>
        <w:jc w:val="left"/>
      </w:pPr>
      <w:r>
        <w:rPr>
          <w:b/>
        </w:rPr>
        <w:t xml:space="preserve">(2)  </w:t>
      </w:r>
      <w:bookmarkStart w:id="8" w:name="Bookmark__2"/>
      <w:bookmarkEnd w:id="8"/>
      <w:r>
        <w:rPr>
          <w:rFonts w:ascii="times" w:eastAsia="times" w:hAnsi="times" w:cs="times"/>
          <w:b w:val="0"/>
          <w:i w:val="0"/>
          <w:strike w:val="0"/>
          <w:noProof w:val="0"/>
          <w:color w:val="000000"/>
          <w:position w:val="0"/>
          <w:sz w:val="24"/>
          <w:u w:val="none"/>
          <w:vertAlign w:val="baseline"/>
        </w:rPr>
        <w:t xml:space="preserve">user name or email address, in combination with a password or security question and answer that would permit access to an online account, when either the user name or email address or password or security question and answer are not encrypted or redacted or are encrypted or redacted but the keys to unencrypt or unredact or otherwise read the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elements have been obtained through the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of security.</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“Personal information” does not include publicly available information that is lawfully made available to the general public from federal, State, or local government records.</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94-36, § 5; 97-483, § 5; 99-503, § 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815 ILCS 530/5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815 ILCS 530/5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