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32-34-1.5-83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32 Property (Arts. 1 — 39)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34 Lost or Unclaimed Personal Property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1.5 Revised Unclaimed Property Act (§§ 32-34-1.5-1 — 32-34-1.5-87)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32-34-1.5-83. Compromise of confidentiality or integrity of information.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to the extent prohibited by law other than this chapter, the attorney general or the attorney general’s agent shall notify a holder as soon as practicable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suspected loss, misuse or unauthorized access, disclosure, modification, or destruction of confidential information obtained from the holder in the possession of the attorney general or the attorney general’s agent;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interference with operations in any system hosting or housing confidential information which: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a_2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compromises the security, confidentiality, or integrity of the information;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a_2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creates a substantial risk of identity fraud or theft.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6" w:name="Bookmark_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attorney general and the attorney general’s agent must comply with the requirements of IC 4-1-10 and IC 4-1-11 if an event described in subsection (a) leads to the disclosure of confidential information.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an event described in subsection (a) occurs, the attorney general and the attorney general’s agent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8" w:name="Bookmark__c_1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take action necessary for the holder to understand and minimize the effect of the event and determine its scope;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c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cooperate with the holder with respect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0" w:name="Bookmark__c_2_a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notification required by law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other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1" w:name="Bookmark__c_2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regulatory inquiry, litigation, or similar action.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P.L.141-2021, § 20,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32-34-1.5-83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32-34-1.5-83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