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39:15.7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1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Public finance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State finance (Chs. 1 — 3-G)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Division of administration (Pts.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Division of administration (Subpts.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Subpart C-1. State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and Information Technology Fund  (§ 39:15.7)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39:15.7. State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and Information Technology Fund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The State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Information Technology Fund, hereinafter referred to as the “fund”, is hereby established in the state treasury as a special fund. The fund is eligible to receive any monies designated for the fund and received or held by the state treasurer from donations, gifts, grants, or other revenue. Pursuant to Article VII, Section 9(B) of the Constitution of Louisiana, a portion of all state money deposited in the fund shall be credited to the Bond Security and Redemption Fund, except money received as the result of grants or donations or other forms of assistance when the terms and conditions thereof or the agreements pertaining thereto require otherwise. </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All unexpended and unencumbered monies in the fund at the end of the fiscal year shall remain in the fund. Monies deposited into the fund shall be permanently credited to the fund and shall be invested by the treasurer in a manner provided for by law and any earnings realized on investment of money in the fund shall be deposited in and credited to the fund. </w:t>
      </w:r>
    </w:p>
    <w:p>
      <w:pPr>
        <w:spacing w:before="120" w:line="240" w:lineRule="atLeast"/>
        <w:ind w:left="720"/>
      </w:pPr>
      <w:r>
        <w:rPr>
          <w:b/>
        </w:rPr>
        <w:t xml:space="preserve">C.  </w:t>
      </w:r>
      <w:bookmarkStart w:id="3" w:name="Bookmark__c"/>
      <w:bookmarkEnd w:id="3"/>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 xml:space="preserve">Monies in the fund may be expended only on direct, project-related expenses for projects reviewed by the Joint Legislative Committee 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or its successor. </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 xml:space="preserve">No later than October 1, 2021, and October first each year thereafter, the office of technology services shall provide a proposed list of projects for the coming fiscal year to the Joint Legislative Committee 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(3)  </w:t>
      </w:r>
      <w:bookmarkStart w:id="6" w:name="Bookmark__c_3"/>
      <w:bookmarkEnd w:id="6"/>
      <w:r>
        <w:rPr>
          <w:rFonts w:ascii="times" w:eastAsia="times" w:hAnsi="times" w:cs="times"/>
          <w:b w:val="0"/>
          <w:i w:val="0"/>
          <w:strike w:val="0"/>
          <w:noProof w:val="0"/>
          <w:color w:val="000000"/>
          <w:position w:val="0"/>
          <w:sz w:val="24"/>
          <w:u w:val="none"/>
          <w:vertAlign w:val="baseline"/>
        </w:rPr>
        <w:t xml:space="preserve">The committee shall hold public meetings for the purpose of reviewing priorities for the upcoming fiscal year. </w:t>
      </w:r>
    </w:p>
    <w:p>
      <w:pPr>
        <w:keepNext w:val="0"/>
        <w:spacing w:before="120" w:after="0" w:line="300" w:lineRule="atLeast"/>
        <w:ind w:left="1080" w:right="0"/>
        <w:jc w:val="left"/>
      </w:pPr>
      <w:r>
        <w:rPr>
          <w:b/>
        </w:rPr>
        <w:t xml:space="preserve">(4)  </w:t>
      </w:r>
      <w:bookmarkStart w:id="7" w:name="Bookmark__c_4"/>
      <w:bookmarkEnd w:id="7"/>
      <w:r>
        <w:rPr>
          <w:rFonts w:ascii="times" w:eastAsia="times" w:hAnsi="times" w:cs="times"/>
          <w:b w:val="0"/>
          <w:i w:val="0"/>
          <w:strike w:val="0"/>
          <w:noProof w:val="0"/>
          <w:color w:val="000000"/>
          <w:position w:val="0"/>
          <w:sz w:val="24"/>
          <w:u w:val="none"/>
          <w:vertAlign w:val="baseline"/>
        </w:rPr>
        <w:t xml:space="preserve">At each public meeting, the office of technology services shall provide the committee with the following details on each proposed project: </w:t>
      </w:r>
    </w:p>
    <w:p>
      <w:pPr>
        <w:keepNext w:val="0"/>
        <w:spacing w:before="120" w:after="0" w:line="300" w:lineRule="atLeast"/>
        <w:ind w:left="1440" w:right="0"/>
        <w:jc w:val="left"/>
      </w:pPr>
      <w:r>
        <w:rPr>
          <w:b/>
        </w:rPr>
        <w:t xml:space="preserve">(a)  </w:t>
      </w:r>
      <w:bookmarkStart w:id="8" w:name="Bookmark__c_4_a"/>
      <w:bookmarkEnd w:id="8"/>
      <w:r>
        <w:rPr>
          <w:rFonts w:ascii="times" w:eastAsia="times" w:hAnsi="times" w:cs="times"/>
          <w:b w:val="0"/>
          <w:i w:val="0"/>
          <w:strike w:val="0"/>
          <w:noProof w:val="0"/>
          <w:color w:val="000000"/>
          <w:position w:val="0"/>
          <w:sz w:val="24"/>
          <w:u w:val="none"/>
          <w:vertAlign w:val="baseline"/>
        </w:rPr>
        <w:t xml:space="preserve">The total projected cost. </w:t>
      </w:r>
    </w:p>
    <w:p>
      <w:pPr>
        <w:keepNext w:val="0"/>
        <w:spacing w:before="120" w:after="0" w:line="300" w:lineRule="atLeast"/>
        <w:ind w:left="1440" w:right="0"/>
        <w:jc w:val="left"/>
      </w:pPr>
      <w:r>
        <w:rPr>
          <w:b/>
        </w:rPr>
        <w:t xml:space="preserve">(b)  </w:t>
      </w:r>
      <w:bookmarkStart w:id="9" w:name="Bookmark__c_4_b"/>
      <w:bookmarkEnd w:id="9"/>
      <w:r>
        <w:rPr>
          <w:rFonts w:ascii="times" w:eastAsia="times" w:hAnsi="times" w:cs="times"/>
          <w:b w:val="0"/>
          <w:i w:val="0"/>
          <w:strike w:val="0"/>
          <w:noProof w:val="0"/>
          <w:color w:val="000000"/>
          <w:position w:val="0"/>
          <w:sz w:val="24"/>
          <w:u w:val="none"/>
          <w:vertAlign w:val="baseline"/>
        </w:rPr>
        <w:t xml:space="preserve">Whether federal funds are available to help fund all or a portion of the project. </w:t>
      </w:r>
    </w:p>
    <w:p>
      <w:pPr>
        <w:keepNext w:val="0"/>
        <w:spacing w:before="120" w:after="0" w:line="300" w:lineRule="atLeast"/>
        <w:ind w:left="1440" w:right="0"/>
        <w:jc w:val="left"/>
      </w:pPr>
      <w:r>
        <w:rPr>
          <w:b/>
        </w:rPr>
        <w:t xml:space="preserve">(c)  </w:t>
      </w:r>
      <w:bookmarkStart w:id="10" w:name="Bookmark__c_4_c"/>
      <w:bookmarkEnd w:id="10"/>
      <w:r>
        <w:rPr>
          <w:rFonts w:ascii="times" w:eastAsia="times" w:hAnsi="times" w:cs="times"/>
          <w:b w:val="0"/>
          <w:i w:val="0"/>
          <w:strike w:val="0"/>
          <w:noProof w:val="0"/>
          <w:color w:val="000000"/>
          <w:position w:val="0"/>
          <w:sz w:val="24"/>
          <w:u w:val="none"/>
          <w:vertAlign w:val="baseline"/>
        </w:rPr>
        <w:t xml:space="preserve">The projected timeline for completion. </w:t>
      </w:r>
    </w:p>
    <w:p>
      <w:pPr>
        <w:keepNext w:val="0"/>
        <w:spacing w:before="120" w:after="0" w:line="300" w:lineRule="atLeast"/>
        <w:ind w:left="1080" w:right="0"/>
        <w:jc w:val="left"/>
      </w:pPr>
      <w:r>
        <w:rPr>
          <w:b/>
        </w:rPr>
        <w:t xml:space="preserve">(5)  </w:t>
      </w:r>
      <w:bookmarkStart w:id="11" w:name="Bookmark__c_5"/>
      <w:bookmarkEnd w:id="11"/>
      <w:r>
        <w:rPr>
          <w:rFonts w:ascii="times" w:eastAsia="times" w:hAnsi="times" w:cs="times"/>
          <w:b w:val="0"/>
          <w:i w:val="0"/>
          <w:strike w:val="0"/>
          <w:noProof w:val="0"/>
          <w:color w:val="000000"/>
          <w:position w:val="0"/>
          <w:sz w:val="24"/>
          <w:u w:val="none"/>
          <w:vertAlign w:val="baseline"/>
        </w:rPr>
        <w:t>No later than January first of each year, the committee shall submit a list of recommended projects to the speaker of the House of Representatives, the president of the Senate, the chairman of the House Committee on Appropriations, and the chairman of the Senate Committee on Finance.</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2020, 1st Sp. Sess. No. 26, § 1, effective July 13, 2020.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39:15.7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39:15.7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0C7-BGN3-CH1B-T1VX-00000-00">
    <vt:lpwstr>Doc::/shared/document|contextualFeaturePermID::1516831</vt:lpwstr>
  </property>
  <property fmtid="{D5CDD505-2E9C-101B-9397-08002B2CF9AE}" pid="5" name="UserPermID">
    <vt:lpwstr>urn:user:PA186163333</vt:lpwstr>
  </property>
</Properties>
</file>