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22:2503.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the following definitions apply: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 natural person known to and screened by a licensee and determined to be necessary and appropriate to have access to the nonpublic information held by a licensee and its information systems.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“Consumer” means a natural person who is a resident of this state and whose nonpublic information is in a licensee’s possession, custody, or control.</w:t>
      </w:r>
    </w:p>
    <w:p>
      <w:pPr>
        <w:spacing w:before="120" w:line="240" w:lineRule="atLeast"/>
        <w:ind w:left="1080"/>
      </w:pPr>
      <w:r>
        <w:rPr>
          <w:b/>
        </w:rPr>
        <w:t xml:space="preserve">(3)  </w:t>
      </w:r>
      <w:bookmarkStart w:id="3" w:name="Bookmark__3"/>
      <w:bookmarkEnd w:id="3"/>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disruption or misuse of an information system or nonpublic information stored on an information system.</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not include either of the following:</w:t>
      </w:r>
    </w:p>
    <w:p>
      <w:pPr>
        <w:keepNext w:val="0"/>
        <w:spacing w:before="120" w:after="0" w:line="300" w:lineRule="atLeast"/>
        <w:ind w:left="1800" w:right="0"/>
        <w:jc w:val="left"/>
      </w:pPr>
      <w:r>
        <w:rPr>
          <w:b/>
        </w:rPr>
        <w:t xml:space="preserve">(i)  </w:t>
      </w:r>
      <w:bookmarkStart w:id="6" w:name="Bookmark__3_b_i"/>
      <w:bookmarkEnd w:id="6"/>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800" w:right="0"/>
        <w:jc w:val="left"/>
      </w:pPr>
      <w:r>
        <w:rPr>
          <w:b/>
        </w:rPr>
        <w:t xml:space="preserve">(ii)  </w:t>
      </w:r>
      <w:bookmarkStart w:id="7" w:name="Bookmark__3_b_ii"/>
      <w:bookmarkEnd w:id="7"/>
      <w:r>
        <w:rPr>
          <w:rFonts w:ascii="times" w:eastAsia="times" w:hAnsi="times" w:cs="times"/>
          <w:b w:val="0"/>
          <w:i w:val="0"/>
          <w:strike w:val="0"/>
          <w:noProof w:val="0"/>
          <w:color w:val="000000"/>
          <w:position w:val="0"/>
          <w:sz w:val="24"/>
          <w:u w:val="none"/>
          <w:vertAlign w:val="baseline"/>
        </w:rPr>
        <w:t>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“Encrypted” means the transformation of data into a form that has a low probability of assigning meaning without the use of a protective process or key.</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“Information system” shall include any specialized system such as industrial or process controls systems, telephone switching and private branch exchange systems, and environmental control systems.</w:t>
      </w:r>
    </w:p>
    <w:p>
      <w:pPr>
        <w:spacing w:before="120" w:line="240" w:lineRule="atLeast"/>
        <w:ind w:left="1080"/>
      </w:pPr>
      <w:r>
        <w:rPr>
          <w:b/>
        </w:rPr>
        <w:t xml:space="preserve">(7)  </w:t>
      </w:r>
      <w:bookmarkStart w:id="11" w:name="Bookmark__7"/>
      <w:bookmarkEnd w:id="11"/>
    </w:p>
    <w:p>
      <w:pPr>
        <w:keepNext w:val="0"/>
        <w:spacing w:before="120" w:after="0" w:line="300" w:lineRule="atLeast"/>
        <w:ind w:left="1440" w:right="0"/>
        <w:jc w:val="left"/>
      </w:pPr>
      <w:r>
        <w:rPr>
          <w:b/>
        </w:rPr>
        <w:t xml:space="preserve">(a)  </w:t>
      </w:r>
      <w:bookmarkStart w:id="12" w:name="Bookmark__7_a"/>
      <w:bookmarkEnd w:id="12"/>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pursuant to the insurance laws of this state.</w:t>
      </w:r>
    </w:p>
    <w:p>
      <w:pPr>
        <w:keepNext w:val="0"/>
        <w:spacing w:before="120" w:after="0" w:line="300" w:lineRule="atLeast"/>
        <w:ind w:left="1440" w:right="0"/>
        <w:jc w:val="left"/>
      </w:pPr>
      <w:r>
        <w:rPr>
          <w:b/>
        </w:rPr>
        <w:t xml:space="preserve">(b)  </w:t>
      </w:r>
      <w:bookmarkStart w:id="13" w:name="Bookmark__7_b"/>
      <w:bookmarkEnd w:id="13"/>
      <w:r>
        <w:rPr>
          <w:rFonts w:ascii="times" w:eastAsia="times" w:hAnsi="times" w:cs="times"/>
          <w:b w:val="0"/>
          <w:i w:val="0"/>
          <w:strike w:val="0"/>
          <w:noProof w:val="0"/>
          <w:color w:val="000000"/>
          <w:position w:val="0"/>
          <w:sz w:val="24"/>
          <w:u w:val="none"/>
          <w:vertAlign w:val="baseline"/>
        </w:rPr>
        <w:t>“Licensee” shall not include either of the following:</w:t>
      </w:r>
    </w:p>
    <w:p>
      <w:pPr>
        <w:keepNext w:val="0"/>
        <w:spacing w:before="120" w:after="0" w:line="300" w:lineRule="atLeast"/>
        <w:ind w:left="1800" w:right="0"/>
        <w:jc w:val="left"/>
      </w:pPr>
      <w:r>
        <w:rPr>
          <w:b/>
        </w:rPr>
        <w:t xml:space="preserve">(i)  </w:t>
      </w:r>
      <w:bookmarkStart w:id="14" w:name="Bookmark__7_b_i"/>
      <w:bookmarkEnd w:id="14"/>
      <w:r>
        <w:rPr>
          <w:rFonts w:ascii="times" w:eastAsia="times" w:hAnsi="times" w:cs="times"/>
          <w:b w:val="0"/>
          <w:i w:val="0"/>
          <w:strike w:val="0"/>
          <w:noProof w:val="0"/>
          <w:color w:val="000000"/>
          <w:position w:val="0"/>
          <w:sz w:val="24"/>
          <w:u w:val="none"/>
          <w:vertAlign w:val="baseline"/>
        </w:rPr>
        <w:t>A purchasing group or a risk retention group chartered and licensed in a state other than this state.</w:t>
      </w:r>
    </w:p>
    <w:p>
      <w:pPr>
        <w:keepNext w:val="0"/>
        <w:spacing w:before="120" w:after="0" w:line="300" w:lineRule="atLeast"/>
        <w:ind w:left="1800" w:right="0"/>
        <w:jc w:val="left"/>
      </w:pPr>
      <w:r>
        <w:rPr>
          <w:b/>
        </w:rPr>
        <w:t xml:space="preserve">(ii)  </w:t>
      </w:r>
      <w:bookmarkStart w:id="15" w:name="Bookmark__7_b_ii"/>
      <w:bookmarkEnd w:id="15"/>
      <w:r>
        <w:rPr>
          <w:rFonts w:ascii="times" w:eastAsia="times" w:hAnsi="times" w:cs="times"/>
          <w:b w:val="0"/>
          <w:i w:val="0"/>
          <w:strike w:val="0"/>
          <w:noProof w:val="0"/>
          <w:color w:val="000000"/>
          <w:position w:val="0"/>
          <w:sz w:val="24"/>
          <w:u w:val="none"/>
          <w:vertAlign w:val="baseline"/>
        </w:rPr>
        <w:t>A person that is acting as an assuming insurer that is domiciled in another state or jurisdiction.</w:t>
      </w:r>
    </w:p>
    <w:p>
      <w:pPr>
        <w:keepNext w:val="0"/>
        <w:spacing w:before="120" w:after="0" w:line="300" w:lineRule="atLeast"/>
        <w:ind w:left="1080" w:right="0"/>
        <w:jc w:val="left"/>
      </w:pPr>
      <w:r>
        <w:rPr>
          <w:b/>
        </w:rPr>
        <w:t xml:space="preserve">(8)  </w:t>
      </w:r>
      <w:bookmarkStart w:id="16" w:name="Bookmark__8"/>
      <w:bookmarkEnd w:id="16"/>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440" w:right="0"/>
        <w:jc w:val="left"/>
      </w:pPr>
      <w:r>
        <w:rPr>
          <w:b/>
        </w:rPr>
        <w:t xml:space="preserve">(a)  </w:t>
      </w:r>
      <w:bookmarkStart w:id="17" w:name="Bookmark__8_a"/>
      <w:bookmarkEnd w:id="17"/>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(b)  </w:t>
      </w:r>
      <w:bookmarkStart w:id="18" w:name="Bookmark__8_b"/>
      <w:bookmarkEnd w:id="18"/>
      <w:r>
        <w:rPr>
          <w:rFonts w:ascii="times" w:eastAsia="times" w:hAnsi="times" w:cs="times"/>
          <w:b w:val="0"/>
          <w:i w:val="0"/>
          <w:strike w:val="0"/>
          <w:noProof w:val="0"/>
          <w:color w:val="000000"/>
          <w:position w:val="0"/>
          <w:sz w:val="24"/>
          <w:u w:val="none"/>
          <w:vertAlign w:val="baseline"/>
        </w:rPr>
        <w:t>Possession factors, such as a token or text message on a mobile phone.</w:t>
      </w:r>
    </w:p>
    <w:p>
      <w:pPr>
        <w:keepNext w:val="0"/>
        <w:spacing w:before="120" w:after="0" w:line="300" w:lineRule="atLeast"/>
        <w:ind w:left="1440" w:right="0"/>
        <w:jc w:val="left"/>
      </w:pPr>
      <w:r>
        <w:rPr>
          <w:b/>
        </w:rPr>
        <w:t xml:space="preserve">(c)  </w:t>
      </w:r>
      <w:bookmarkStart w:id="19" w:name="Bookmark__8_c"/>
      <w:bookmarkEnd w:id="19"/>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(9)  </w:t>
      </w:r>
      <w:bookmarkStart w:id="20" w:name="Bookmark__9"/>
      <w:bookmarkEnd w:id="20"/>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is any of the following:</w:t>
      </w:r>
    </w:p>
    <w:p>
      <w:pPr>
        <w:keepNext w:val="0"/>
        <w:spacing w:before="120" w:after="0" w:line="300" w:lineRule="atLeast"/>
        <w:ind w:left="1440" w:right="0"/>
        <w:jc w:val="left"/>
      </w:pPr>
      <w:r>
        <w:rPr>
          <w:b/>
        </w:rPr>
        <w:t xml:space="preserve">(a)  </w:t>
      </w:r>
      <w:bookmarkStart w:id="21" w:name="Bookmark__9_a"/>
      <w:bookmarkEnd w:id="21"/>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a consumer, in combination with any one or more of the following data elements:</w:t>
      </w:r>
    </w:p>
    <w:p>
      <w:pPr>
        <w:keepNext w:val="0"/>
        <w:spacing w:before="120" w:after="0" w:line="300" w:lineRule="atLeast"/>
        <w:ind w:left="1800" w:right="0"/>
        <w:jc w:val="left"/>
      </w:pPr>
      <w:r>
        <w:rPr>
          <w:b/>
        </w:rPr>
        <w:t xml:space="preserve">(i)  </w:t>
      </w:r>
      <w:bookmarkStart w:id="22" w:name="Bookmark__9_a_i"/>
      <w:bookmarkEnd w:id="22"/>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23" w:name="Bookmark__9_a_ii"/>
      <w:bookmarkEnd w:id="23"/>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(iii)  </w:t>
      </w:r>
      <w:bookmarkStart w:id="24" w:name="Bookmark__9_a_iii"/>
      <w:bookmarkEnd w:id="24"/>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800" w:right="0"/>
        <w:jc w:val="left"/>
      </w:pPr>
      <w:r>
        <w:rPr>
          <w:b/>
        </w:rPr>
        <w:t xml:space="preserve">(iv)  </w:t>
      </w:r>
      <w:bookmarkStart w:id="25" w:name="Bookmark__9_a_iv"/>
      <w:bookmarkEnd w:id="25"/>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w:t>
      </w:r>
    </w:p>
    <w:p>
      <w:pPr>
        <w:keepNext w:val="0"/>
        <w:spacing w:before="120" w:after="0" w:line="300" w:lineRule="atLeast"/>
        <w:ind w:left="1800" w:right="0"/>
        <w:jc w:val="left"/>
      </w:pPr>
      <w:r>
        <w:rPr>
          <w:b/>
        </w:rPr>
        <w:t xml:space="preserve">(v)  </w:t>
      </w:r>
      <w:bookmarkStart w:id="26" w:name="Bookmark__9_a_v"/>
      <w:bookmarkEnd w:id="26"/>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(b)  </w:t>
      </w:r>
      <w:bookmarkStart w:id="27" w:name="Bookmark__9_b"/>
      <w:bookmarkEnd w:id="27"/>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healthcare provider or a consumer, that can be used to identify a particular consumer, and that relates to any of the following:</w:t>
      </w:r>
    </w:p>
    <w:p>
      <w:pPr>
        <w:keepNext w:val="0"/>
        <w:spacing w:before="120" w:after="0" w:line="300" w:lineRule="atLeast"/>
        <w:ind w:left="1800" w:right="0"/>
        <w:jc w:val="left"/>
      </w:pPr>
      <w:r>
        <w:rPr>
          <w:b/>
        </w:rPr>
        <w:t xml:space="preserve">(i)  </w:t>
      </w:r>
      <w:bookmarkStart w:id="28" w:name="Bookmark__9_b_i"/>
      <w:bookmarkEnd w:id="28"/>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w:t>
      </w:r>
    </w:p>
    <w:p>
      <w:pPr>
        <w:keepNext w:val="0"/>
        <w:spacing w:before="120" w:after="0" w:line="300" w:lineRule="atLeast"/>
        <w:ind w:left="1800" w:right="0"/>
        <w:jc w:val="left"/>
      </w:pPr>
      <w:r>
        <w:rPr>
          <w:b/>
        </w:rPr>
        <w:t xml:space="preserve">(ii)  </w:t>
      </w:r>
      <w:bookmarkStart w:id="29" w:name="Bookmark__9_b_ii"/>
      <w:bookmarkEnd w:id="29"/>
      <w:r>
        <w:rPr>
          <w:rFonts w:ascii="times" w:eastAsia="times" w:hAnsi="times" w:cs="times"/>
          <w:b w:val="0"/>
          <w:i w:val="0"/>
          <w:strike w:val="0"/>
          <w:noProof w:val="0"/>
          <w:color w:val="000000"/>
          <w:position w:val="0"/>
          <w:sz w:val="24"/>
          <w:u w:val="none"/>
          <w:vertAlign w:val="baseline"/>
        </w:rPr>
        <w:t>The provision of health care to any consumer.</w:t>
      </w:r>
    </w:p>
    <w:p>
      <w:pPr>
        <w:keepNext w:val="0"/>
        <w:spacing w:before="120" w:after="0" w:line="300" w:lineRule="atLeast"/>
        <w:ind w:left="1800" w:right="0"/>
        <w:jc w:val="left"/>
      </w:pPr>
      <w:r>
        <w:rPr>
          <w:b/>
        </w:rPr>
        <w:t xml:space="preserve">(iii)  </w:t>
      </w:r>
      <w:bookmarkStart w:id="30" w:name="Bookmark__9_b_iii"/>
      <w:bookmarkEnd w:id="30"/>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b/>
        </w:rPr>
        <w:t xml:space="preserve">(10)  </w:t>
      </w:r>
      <w:bookmarkStart w:id="31" w:name="Bookmark__10"/>
      <w:bookmarkEnd w:id="31"/>
      <w:r>
        <w:rPr>
          <w:rFonts w:ascii="times" w:eastAsia="times" w:hAnsi="times" w:cs="times"/>
          <w:b w:val="0"/>
          <w:i w:val="0"/>
          <w:strike w:val="0"/>
          <w:noProof w:val="0"/>
          <w:color w:val="000000"/>
          <w:position w:val="0"/>
          <w:sz w:val="24"/>
          <w:u w:val="none"/>
          <w:vertAlign w:val="baseline"/>
        </w:rPr>
        <w:t>“Person” means any natural person or any nongovernmental juridical person.</w:t>
      </w:r>
    </w:p>
    <w:p>
      <w:pPr>
        <w:keepNext w:val="0"/>
        <w:spacing w:before="120" w:after="0" w:line="300" w:lineRule="atLeast"/>
        <w:ind w:left="1080" w:right="0"/>
        <w:jc w:val="left"/>
      </w:pPr>
      <w:r>
        <w:rPr>
          <w:b/>
        </w:rPr>
        <w:t xml:space="preserve">(11)  </w:t>
      </w:r>
      <w:bookmarkStart w:id="32" w:name="Bookmark__11"/>
      <w:bookmarkEnd w:id="32"/>
      <w:r>
        <w:rPr>
          <w:rFonts w:ascii="times" w:eastAsia="times" w:hAnsi="times" w:cs="times"/>
          <w:b w:val="0"/>
          <w:i w:val="0"/>
          <w:strike w:val="0"/>
          <w:noProof w:val="0"/>
          <w:color w:val="000000"/>
          <w:position w:val="0"/>
          <w:sz w:val="24"/>
          <w:u w:val="none"/>
          <w:vertAlign w:val="baseline"/>
        </w:rPr>
        <w:t>“Publicly available information” means any information that a licensee reasonably believes is lawfully made available to the general public when all of the following occur:</w:t>
      </w:r>
    </w:p>
    <w:p>
      <w:pPr>
        <w:keepNext w:val="0"/>
        <w:spacing w:before="120" w:after="0" w:line="300" w:lineRule="atLeast"/>
        <w:ind w:left="1440" w:right="0"/>
        <w:jc w:val="left"/>
      </w:pPr>
      <w:r>
        <w:rPr>
          <w:b/>
        </w:rPr>
        <w:t xml:space="preserve">(a)  </w:t>
      </w:r>
      <w:bookmarkStart w:id="33" w:name="Bookmark__11_a"/>
      <w:bookmarkEnd w:id="33"/>
      <w:r>
        <w:rPr>
          <w:rFonts w:ascii="times" w:eastAsia="times" w:hAnsi="times" w:cs="times"/>
          <w:b w:val="0"/>
          <w:i w:val="0"/>
          <w:strike w:val="0"/>
          <w:noProof w:val="0"/>
          <w:color w:val="000000"/>
          <w:position w:val="0"/>
          <w:sz w:val="24"/>
          <w:u w:val="none"/>
          <w:vertAlign w:val="baseline"/>
        </w:rPr>
        <w:t>The information is available to the general public from any of the following sources:</w:t>
      </w:r>
    </w:p>
    <w:p>
      <w:pPr>
        <w:keepNext w:val="0"/>
        <w:spacing w:before="120" w:after="0" w:line="300" w:lineRule="atLeast"/>
        <w:ind w:left="1800" w:right="0"/>
        <w:jc w:val="left"/>
      </w:pPr>
      <w:r>
        <w:rPr>
          <w:b/>
        </w:rPr>
        <w:t xml:space="preserve">(i)  </w:t>
      </w:r>
      <w:bookmarkStart w:id="34" w:name="Bookmark__11_a_i"/>
      <w:bookmarkEnd w:id="34"/>
      <w:r>
        <w:rPr>
          <w:rFonts w:ascii="times" w:eastAsia="times" w:hAnsi="times" w:cs="times"/>
          <w:b w:val="0"/>
          <w:i w:val="0"/>
          <w:strike w:val="0"/>
          <w:noProof w:val="0"/>
          <w:color w:val="000000"/>
          <w:position w:val="0"/>
          <w:sz w:val="24"/>
          <w:u w:val="none"/>
          <w:vertAlign w:val="baseline"/>
        </w:rPr>
        <w:t>Federal, state, or local government records.</w:t>
      </w:r>
    </w:p>
    <w:p>
      <w:pPr>
        <w:keepNext w:val="0"/>
        <w:spacing w:before="120" w:after="0" w:line="300" w:lineRule="atLeast"/>
        <w:ind w:left="1800" w:right="0"/>
        <w:jc w:val="left"/>
      </w:pPr>
      <w:r>
        <w:rPr>
          <w:b/>
        </w:rPr>
        <w:t xml:space="preserve">(ii)  </w:t>
      </w:r>
      <w:bookmarkStart w:id="35" w:name="Bookmark__11_a_ii"/>
      <w:bookmarkEnd w:id="35"/>
      <w:r>
        <w:rPr>
          <w:rFonts w:ascii="times" w:eastAsia="times" w:hAnsi="times" w:cs="times"/>
          <w:b w:val="0"/>
          <w:i w:val="0"/>
          <w:strike w:val="0"/>
          <w:noProof w:val="0"/>
          <w:color w:val="000000"/>
          <w:position w:val="0"/>
          <w:sz w:val="24"/>
          <w:u w:val="none"/>
          <w:vertAlign w:val="baseline"/>
        </w:rPr>
        <w:t>Widely distributed media.</w:t>
      </w:r>
    </w:p>
    <w:p>
      <w:pPr>
        <w:keepNext w:val="0"/>
        <w:spacing w:before="120" w:after="0" w:line="300" w:lineRule="atLeast"/>
        <w:ind w:left="1800" w:right="0"/>
        <w:jc w:val="left"/>
      </w:pPr>
      <w:r>
        <w:rPr>
          <w:b/>
        </w:rPr>
        <w:t xml:space="preserve">(iii)  </w:t>
      </w:r>
      <w:bookmarkStart w:id="36" w:name="Bookmark__11_a_iii"/>
      <w:bookmarkEnd w:id="36"/>
      <w:r>
        <w:rPr>
          <w:rFonts w:ascii="times" w:eastAsia="times" w:hAnsi="times" w:cs="times"/>
          <w:b w:val="0"/>
          <w:i w:val="0"/>
          <w:strike w:val="0"/>
          <w:noProof w:val="0"/>
          <w:color w:val="000000"/>
          <w:position w:val="0"/>
          <w:sz w:val="24"/>
          <w:u w:val="none"/>
          <w:vertAlign w:val="baseline"/>
        </w:rPr>
        <w:t>Disclosures to the general public required to be made by federal, state, or local law.</w:t>
      </w:r>
    </w:p>
    <w:p>
      <w:pPr>
        <w:keepNext w:val="0"/>
        <w:spacing w:before="120" w:after="0" w:line="300" w:lineRule="atLeast"/>
        <w:ind w:left="1440" w:right="0"/>
        <w:jc w:val="left"/>
      </w:pPr>
      <w:r>
        <w:rPr>
          <w:b/>
        </w:rPr>
        <w:t xml:space="preserve">(b)  </w:t>
      </w:r>
      <w:bookmarkStart w:id="37" w:name="Bookmark__11_b"/>
      <w:bookmarkEnd w:id="37"/>
      <w:r>
        <w:rPr>
          <w:rFonts w:ascii="times" w:eastAsia="times" w:hAnsi="times" w:cs="times"/>
          <w:b w:val="0"/>
          <w:i w:val="0"/>
          <w:strike w:val="0"/>
          <w:noProof w:val="0"/>
          <w:color w:val="000000"/>
          <w:position w:val="0"/>
          <w:sz w:val="24"/>
          <w:u w:val="none"/>
          <w:vertAlign w:val="baseline"/>
        </w:rPr>
        <w:t>A licensee has a reasonable basis to believe that information is lawfully made available to the general public if the licensee has taken steps to determine all of the following:</w:t>
      </w:r>
    </w:p>
    <w:p>
      <w:pPr>
        <w:keepNext w:val="0"/>
        <w:spacing w:before="120" w:after="0" w:line="300" w:lineRule="atLeast"/>
        <w:ind w:left="1800" w:right="0"/>
        <w:jc w:val="left"/>
      </w:pPr>
      <w:r>
        <w:rPr>
          <w:b/>
        </w:rPr>
        <w:t xml:space="preserve">(i)  </w:t>
      </w:r>
      <w:bookmarkStart w:id="38" w:name="Bookmark__11_b_i"/>
      <w:bookmarkEnd w:id="38"/>
      <w:r>
        <w:rPr>
          <w:rFonts w:ascii="times" w:eastAsia="times" w:hAnsi="times" w:cs="times"/>
          <w:b w:val="0"/>
          <w:i w:val="0"/>
          <w:strike w:val="0"/>
          <w:noProof w:val="0"/>
          <w:color w:val="000000"/>
          <w:position w:val="0"/>
          <w:sz w:val="24"/>
          <w:u w:val="none"/>
          <w:vertAlign w:val="baseline"/>
        </w:rPr>
        <w:t>That the information is of a type that is available to the general public.</w:t>
      </w:r>
    </w:p>
    <w:p>
      <w:pPr>
        <w:keepNext w:val="0"/>
        <w:spacing w:before="120" w:after="0" w:line="300" w:lineRule="atLeast"/>
        <w:ind w:left="1800" w:right="0"/>
        <w:jc w:val="left"/>
      </w:pPr>
      <w:r>
        <w:rPr>
          <w:b/>
        </w:rPr>
        <w:t xml:space="preserve">(ii)  </w:t>
      </w:r>
      <w:bookmarkStart w:id="39" w:name="Bookmark__11_b_ii"/>
      <w:bookmarkEnd w:id="39"/>
      <w:r>
        <w:rPr>
          <w:rFonts w:ascii="times" w:eastAsia="times" w:hAnsi="times" w:cs="times"/>
          <w:b w:val="0"/>
          <w:i w:val="0"/>
          <w:strike w:val="0"/>
          <w:noProof w:val="0"/>
          <w:color w:val="000000"/>
          <w:position w:val="0"/>
          <w:sz w:val="24"/>
          <w:u w:val="none"/>
          <w:vertAlign w:val="baseline"/>
        </w:rPr>
        <w:t>That a consumer who can direct that the information not be made available to the general public has not done so.</w:t>
      </w:r>
    </w:p>
    <w:p>
      <w:pPr>
        <w:keepNext w:val="0"/>
        <w:spacing w:before="120" w:after="0" w:line="300" w:lineRule="atLeast"/>
        <w:ind w:left="1080" w:right="0"/>
        <w:jc w:val="left"/>
      </w:pPr>
      <w:r>
        <w:rPr>
          <w:b/>
        </w:rPr>
        <w:t xml:space="preserve">(12)  </w:t>
      </w:r>
      <w:bookmarkStart w:id="40" w:name="Bookmark__12"/>
      <w:bookmarkEnd w:id="40"/>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pursuant to R.S. 22:2504(C).</w:t>
      </w:r>
    </w:p>
    <w:p>
      <w:pPr>
        <w:keepNext w:val="0"/>
        <w:spacing w:before="120" w:after="0" w:line="300" w:lineRule="atLeast"/>
        <w:ind w:left="1080" w:right="0"/>
        <w:jc w:val="left"/>
      </w:pPr>
      <w:r>
        <w:rPr>
          <w:b/>
        </w:rPr>
        <w:t xml:space="preserve">(13)  </w:t>
      </w:r>
      <w:bookmarkStart w:id="41" w:name="Bookmark__13"/>
      <w:bookmarkEnd w:id="41"/>
      <w:r>
        <w:rPr>
          <w:rFonts w:ascii="times" w:eastAsia="times" w:hAnsi="times" w:cs="times"/>
          <w:b w:val="0"/>
          <w:i w:val="0"/>
          <w:strike w:val="0"/>
          <w:noProof w:val="0"/>
          <w:color w:val="000000"/>
          <w:position w:val="0"/>
          <w:sz w:val="24"/>
          <w:u w:val="none"/>
          <w:vertAlign w:val="baseline"/>
        </w:rPr>
        <w:t>“Third-party service provider” means a person, not otherwise defined as a licensee, who contracts with a licensee to maintain, process, store, or otherwise have access to nonpublic information through its provision of services to the licensee.</w:t>
      </w:r>
    </w:p>
    <w:p>
      <w:pPr>
        <w:keepNext/>
        <w:spacing w:before="240" w:after="0" w:line="340" w:lineRule="atLeast"/>
        <w:ind w:left="0" w:right="0" w:firstLine="0"/>
        <w:jc w:val="left"/>
      </w:pPr>
      <w:bookmarkStart w:id="42" w:name="History"/>
      <w:bookmarkEnd w:id="4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D-00000-00">
    <vt:lpwstr>Doc::/shared/document|contextualFeaturePermID::1516831</vt:lpwstr>
  </property>
  <property fmtid="{D5CDD505-2E9C-101B-9397-08002B2CF9AE}" pid="5" name="UserPermID">
    <vt:lpwstr>urn:user:PA186163333</vt:lpwstr>
  </property>
</Properties>
</file>