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10 M.R.S. § 1543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559 of the 2024 Second Regular Session and Chapter 1 of the Revisor's Report of the 131st Maine Legislature</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Maine Revised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Commerce and Trade  (Pts.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4. Trademarks and Names  (Chs. 301 — 317)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302. Uniform Trade Secrets Act  (§§ 1541 — 1548)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1543. Injunctive relief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Misappropriation restrained or enjoined.  </w:t>
      </w:r>
      <w:bookmarkStart w:id="1" w:name="Bookmark__1"/>
      <w:bookmarkEnd w:id="1"/>
      <w:r>
        <w:rPr>
          <w:rFonts w:ascii="times" w:eastAsia="times" w:hAnsi="times" w:cs="times"/>
          <w:b w:val="0"/>
          <w:i w:val="0"/>
          <w:strike w:val="0"/>
          <w:noProof w:val="0"/>
          <w:color w:val="000000"/>
          <w:position w:val="0"/>
          <w:sz w:val="24"/>
          <w:u w:val="none"/>
          <w:vertAlign w:val="baseline"/>
        </w:rPr>
        <w:t>Actual or threatened misappropriation may be restrained or enjoined.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2. Exceptional circumstances.  </w:t>
      </w:r>
      <w:bookmarkStart w:id="2" w:name="Bookmark__2"/>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Exceptional circumstances include, but are not limited to, a material and prejudicial change of position prior to acquiring knowledge or reason to know of misappropriation that renders a prohibitive injunction inequitable.</w:t>
      </w:r>
    </w:p>
    <w:p>
      <w:pPr>
        <w:keepNext w:val="0"/>
        <w:spacing w:before="120" w:after="0" w:line="300" w:lineRule="atLeast"/>
        <w:ind w:left="720" w:right="0"/>
        <w:jc w:val="left"/>
      </w:pPr>
      <w:r>
        <w:rPr>
          <w:b/>
        </w:rPr>
        <w:t xml:space="preserve">3. Protection of trade secret compelled.  </w:t>
      </w:r>
      <w:bookmarkStart w:id="4" w:name="Bookmark__3"/>
      <w:bookmarkEnd w:id="4"/>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val="0"/>
        <w:spacing w:before="120" w:after="0" w:line="300" w:lineRule="atLeast"/>
        <w:ind w:left="720" w:right="0"/>
        <w:jc w:val="left"/>
      </w:pPr>
      <w:r>
        <w:rPr>
          <w:b/>
        </w:rPr>
        <w:t xml:space="preserve">4. Application.  </w:t>
      </w:r>
      <w:bookmarkStart w:id="5" w:name="Bookmark__4"/>
      <w:bookmarkEnd w:id="5"/>
      <w:r>
        <w:rPr>
          <w:rFonts w:ascii="times" w:eastAsia="times" w:hAnsi="times" w:cs="times"/>
          <w:b w:val="0"/>
          <w:i w:val="0"/>
          <w:strike w:val="0"/>
          <w:noProof w:val="0"/>
          <w:color w:val="000000"/>
          <w:position w:val="0"/>
          <w:sz w:val="24"/>
          <w:u w:val="none"/>
          <w:vertAlign w:val="baseline"/>
        </w:rPr>
        <w:t>This section applies to all forms of injunctive relief, including temporary restraining orders, preliminary injunctions and permanent injunctions.</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Section 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1987, c. 143 (NEW)..</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Maine Revised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 1543. Injunctive relief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1543.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222378474</vt:lpwstr>
  </property>
  <property fmtid="{D5CDD505-2E9C-101B-9397-08002B2CF9AE}" pid="3" name="LADocCount">
    <vt:lpwstr>1</vt:lpwstr>
  </property>
  <property fmtid="{D5CDD505-2E9C-101B-9397-08002B2CF9AE}" pid="4" name="LADocumentID:urn:contentItem:64VM-YTY3-GXJ9-3024-00000-00">
    <vt:lpwstr>Doc::/shared/document|contextualFeaturePermID::1516831</vt:lpwstr>
  </property>
  <property fmtid="{D5CDD505-2E9C-101B-9397-08002B2CF9AE}" pid="5" name="UserPermID">
    <vt:lpwstr>urn:user:PA186163333</vt:lpwstr>
  </property>
</Properties>
</file>